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FC106" w14:textId="77777777" w:rsidR="006E4747" w:rsidRPr="00516C1F" w:rsidRDefault="006E4747" w:rsidP="006E4747">
      <w:pPr>
        <w:pStyle w:val="Title"/>
        <w:jc w:val="center"/>
        <w:rPr>
          <w:sz w:val="52"/>
          <w:szCs w:val="52"/>
          <w:lang w:val="en-GB"/>
        </w:rPr>
      </w:pPr>
    </w:p>
    <w:p w14:paraId="02A3857C" w14:textId="77777777" w:rsidR="006E4747" w:rsidRPr="00516C1F" w:rsidRDefault="006E4747" w:rsidP="006E4747">
      <w:pPr>
        <w:pStyle w:val="Title"/>
        <w:jc w:val="center"/>
        <w:rPr>
          <w:sz w:val="52"/>
          <w:szCs w:val="52"/>
          <w:lang w:val="en-GB"/>
        </w:rPr>
      </w:pPr>
    </w:p>
    <w:p w14:paraId="2171D378" w14:textId="77777777" w:rsidR="006E4747" w:rsidRPr="00516C1F" w:rsidRDefault="006E4747" w:rsidP="006E4747">
      <w:pPr>
        <w:pStyle w:val="Title"/>
        <w:jc w:val="center"/>
        <w:rPr>
          <w:sz w:val="52"/>
          <w:szCs w:val="52"/>
          <w:lang w:val="en-GB"/>
        </w:rPr>
      </w:pPr>
    </w:p>
    <w:p w14:paraId="41BBF894" w14:textId="0FCF3ABF" w:rsidR="003D38EA" w:rsidRPr="00516C1F" w:rsidRDefault="003D38EA" w:rsidP="006E4747">
      <w:pPr>
        <w:pStyle w:val="Title"/>
        <w:jc w:val="center"/>
        <w:rPr>
          <w:sz w:val="52"/>
          <w:szCs w:val="52"/>
          <w:lang w:val="en-GB"/>
        </w:rPr>
      </w:pPr>
      <w:r w:rsidRPr="00516C1F">
        <w:rPr>
          <w:sz w:val="52"/>
          <w:szCs w:val="52"/>
          <w:lang w:val="en-GB"/>
        </w:rPr>
        <w:t>Unveiling Research Synergies in the Danube Region: Exploring Potential Research Collaboration in the Context of Smart Specialisation</w:t>
      </w:r>
    </w:p>
    <w:p w14:paraId="3AB609A4" w14:textId="77777777" w:rsidR="005B504D" w:rsidRPr="00516C1F" w:rsidRDefault="005B504D" w:rsidP="005B504D">
      <w:pPr>
        <w:rPr>
          <w:lang w:val="en-GB"/>
        </w:rPr>
      </w:pPr>
    </w:p>
    <w:p w14:paraId="3956117A" w14:textId="77777777" w:rsidR="005B504D" w:rsidRPr="00516C1F" w:rsidRDefault="005B504D" w:rsidP="005B504D">
      <w:pPr>
        <w:rPr>
          <w:lang w:val="en-GB"/>
        </w:rPr>
      </w:pPr>
    </w:p>
    <w:p w14:paraId="5107BB27" w14:textId="77777777" w:rsidR="005B504D" w:rsidRPr="00516C1F" w:rsidRDefault="005B504D" w:rsidP="005B504D">
      <w:pPr>
        <w:rPr>
          <w:lang w:val="en-GB"/>
        </w:rPr>
      </w:pPr>
    </w:p>
    <w:p w14:paraId="00E549C2" w14:textId="3F4FB726" w:rsidR="003741D3" w:rsidRPr="00516C1F" w:rsidRDefault="003741D3" w:rsidP="006E4747">
      <w:pPr>
        <w:jc w:val="center"/>
        <w:rPr>
          <w:b/>
          <w:bCs/>
          <w:lang w:val="en-GB"/>
        </w:rPr>
      </w:pPr>
      <w:r w:rsidRPr="00516C1F">
        <w:rPr>
          <w:b/>
          <w:bCs/>
          <w:lang w:val="en-GB"/>
        </w:rPr>
        <w:t>Author:</w:t>
      </w:r>
    </w:p>
    <w:p w14:paraId="4C7A5F7D" w14:textId="3852C8A9" w:rsidR="003741D3" w:rsidRDefault="006E4747" w:rsidP="006E4747">
      <w:pPr>
        <w:jc w:val="center"/>
        <w:rPr>
          <w:lang w:val="en-GB"/>
        </w:rPr>
      </w:pPr>
      <w:r w:rsidRPr="00516C1F">
        <w:rPr>
          <w:lang w:val="en-GB"/>
        </w:rPr>
        <w:t>Lazar Živković</w:t>
      </w:r>
    </w:p>
    <w:p w14:paraId="71FD1B81" w14:textId="77777777" w:rsidR="00872E3A" w:rsidRDefault="00872E3A" w:rsidP="006E4747">
      <w:pPr>
        <w:jc w:val="center"/>
        <w:rPr>
          <w:lang w:val="en-GB"/>
        </w:rPr>
      </w:pPr>
    </w:p>
    <w:p w14:paraId="48922A92" w14:textId="77777777" w:rsidR="00872E3A" w:rsidRPr="00872E3A" w:rsidRDefault="00872E3A" w:rsidP="00872E3A">
      <w:pPr>
        <w:jc w:val="center"/>
        <w:rPr>
          <w:b/>
          <w:bCs/>
          <w:lang w:val="en-GB"/>
        </w:rPr>
      </w:pPr>
      <w:r w:rsidRPr="00872E3A">
        <w:rPr>
          <w:b/>
          <w:bCs/>
          <w:lang w:val="en-GB"/>
        </w:rPr>
        <w:t>Editors:</w:t>
      </w:r>
    </w:p>
    <w:p w14:paraId="6318EEAE" w14:textId="047D4E59" w:rsidR="00872E3A" w:rsidRDefault="00872E3A" w:rsidP="006E4747">
      <w:pPr>
        <w:jc w:val="center"/>
        <w:rPr>
          <w:lang w:val="en-GB"/>
        </w:rPr>
      </w:pPr>
      <w:r>
        <w:rPr>
          <w:lang w:val="en-GB"/>
        </w:rPr>
        <w:t>Viktor Nedović</w:t>
      </w:r>
    </w:p>
    <w:p w14:paraId="38B4FCD3" w14:textId="2E4D2E11" w:rsidR="00872E3A" w:rsidRPr="00872E3A" w:rsidRDefault="00872E3A" w:rsidP="006E4747">
      <w:pPr>
        <w:jc w:val="center"/>
        <w:rPr>
          <w:lang w:val="sr-Latn-RS"/>
        </w:rPr>
      </w:pPr>
      <w:r>
        <w:rPr>
          <w:lang w:val="en-GB"/>
        </w:rPr>
        <w:t>Dijana Štrbac</w:t>
      </w:r>
    </w:p>
    <w:p w14:paraId="6C8E8DC7" w14:textId="77777777" w:rsidR="003741D3" w:rsidRPr="00516C1F" w:rsidRDefault="003741D3" w:rsidP="006E4747">
      <w:pPr>
        <w:jc w:val="center"/>
        <w:rPr>
          <w:lang w:val="en-GB"/>
        </w:rPr>
      </w:pPr>
    </w:p>
    <w:p w14:paraId="5D06CEAF" w14:textId="77777777" w:rsidR="005B504D" w:rsidRPr="00516C1F" w:rsidRDefault="005B504D" w:rsidP="005B504D">
      <w:pPr>
        <w:rPr>
          <w:b/>
          <w:bCs/>
          <w:lang w:val="en-GB"/>
        </w:rPr>
      </w:pPr>
    </w:p>
    <w:p w14:paraId="4A9E8C76" w14:textId="77777777" w:rsidR="00444F14" w:rsidRPr="00516C1F" w:rsidRDefault="00444F14" w:rsidP="005B504D">
      <w:pPr>
        <w:rPr>
          <w:lang w:val="en-GB"/>
        </w:rPr>
      </w:pPr>
    </w:p>
    <w:p w14:paraId="0AAD753B" w14:textId="77777777" w:rsidR="005B504D" w:rsidRPr="00516C1F" w:rsidRDefault="005B504D" w:rsidP="005B504D">
      <w:pPr>
        <w:rPr>
          <w:lang w:val="en-GB"/>
        </w:rPr>
      </w:pPr>
    </w:p>
    <w:p w14:paraId="61C8B30A" w14:textId="77777777" w:rsidR="005B504D" w:rsidRPr="00516C1F" w:rsidRDefault="005B504D" w:rsidP="005B504D">
      <w:pPr>
        <w:rPr>
          <w:lang w:val="en-GB"/>
        </w:rPr>
      </w:pPr>
    </w:p>
    <w:p w14:paraId="10ED8C22" w14:textId="77777777" w:rsidR="005B504D" w:rsidRPr="00516C1F" w:rsidRDefault="005B504D" w:rsidP="005B504D">
      <w:pPr>
        <w:rPr>
          <w:lang w:val="en-GB"/>
        </w:rPr>
      </w:pPr>
    </w:p>
    <w:p w14:paraId="323FD1BA" w14:textId="77777777" w:rsidR="005B504D" w:rsidRPr="00516C1F" w:rsidRDefault="005B504D" w:rsidP="005B504D">
      <w:pPr>
        <w:rPr>
          <w:lang w:val="en-GB"/>
        </w:rPr>
      </w:pPr>
    </w:p>
    <w:p w14:paraId="00CC499A" w14:textId="77777777" w:rsidR="005B504D" w:rsidRPr="00516C1F" w:rsidRDefault="005B504D" w:rsidP="005B504D">
      <w:pPr>
        <w:rPr>
          <w:lang w:val="en-GB"/>
        </w:rPr>
      </w:pPr>
    </w:p>
    <w:p w14:paraId="30079BE0" w14:textId="77777777" w:rsidR="005B504D" w:rsidRPr="00516C1F" w:rsidRDefault="005B504D" w:rsidP="005B504D">
      <w:pPr>
        <w:rPr>
          <w:lang w:val="en-GB"/>
        </w:rPr>
      </w:pPr>
    </w:p>
    <w:p w14:paraId="53F1678B" w14:textId="77777777" w:rsidR="005B504D" w:rsidRPr="00516C1F" w:rsidRDefault="005B504D" w:rsidP="005B504D">
      <w:pPr>
        <w:rPr>
          <w:lang w:val="en-GB"/>
        </w:rPr>
      </w:pPr>
    </w:p>
    <w:p w14:paraId="70599679" w14:textId="77777777" w:rsidR="005B504D" w:rsidRPr="00516C1F" w:rsidRDefault="005B504D" w:rsidP="005B504D">
      <w:pPr>
        <w:rPr>
          <w:lang w:val="en-GB"/>
        </w:rPr>
      </w:pPr>
    </w:p>
    <w:p w14:paraId="08CD3868" w14:textId="69B4CD8C" w:rsidR="00460DD7" w:rsidRPr="00516C1F" w:rsidRDefault="00527E85" w:rsidP="003D38EA">
      <w:pPr>
        <w:rPr>
          <w:rFonts w:cs="Calibri"/>
          <w:b/>
          <w:bCs/>
          <w:sz w:val="24"/>
          <w:szCs w:val="24"/>
          <w:lang w:val="en-GB"/>
        </w:rPr>
      </w:pPr>
      <w:r w:rsidRPr="00516C1F">
        <w:rPr>
          <w:rFonts w:cs="Calibri"/>
          <w:b/>
          <w:bCs/>
          <w:sz w:val="24"/>
          <w:szCs w:val="24"/>
          <w:lang w:val="en-GB"/>
        </w:rPr>
        <w:t>TABLE OF CONTENTS</w:t>
      </w:r>
    </w:p>
    <w:p w14:paraId="413C0492" w14:textId="650BA796" w:rsidR="00ED672F" w:rsidRDefault="004948D8">
      <w:pPr>
        <w:pStyle w:val="TOC1"/>
        <w:tabs>
          <w:tab w:val="left" w:pos="440"/>
          <w:tab w:val="right" w:leader="dot" w:pos="9350"/>
        </w:tabs>
        <w:rPr>
          <w:rFonts w:asciiTheme="minorHAnsi" w:eastAsiaTheme="minorEastAsia" w:hAnsiTheme="minorHAnsi"/>
          <w:noProof/>
          <w:sz w:val="24"/>
          <w:szCs w:val="24"/>
        </w:rPr>
      </w:pPr>
      <w:r w:rsidRPr="00516C1F">
        <w:rPr>
          <w:rFonts w:cs="Calibri"/>
          <w:lang w:val="en-GB"/>
        </w:rPr>
        <w:fldChar w:fldCharType="begin"/>
      </w:r>
      <w:r w:rsidRPr="00516C1F">
        <w:rPr>
          <w:rFonts w:cs="Calibri"/>
          <w:lang w:val="en-GB"/>
        </w:rPr>
        <w:instrText xml:space="preserve"> TOC \o "1-3" \h \z \u </w:instrText>
      </w:r>
      <w:r w:rsidRPr="00516C1F">
        <w:rPr>
          <w:rFonts w:cs="Calibri"/>
          <w:lang w:val="en-GB"/>
        </w:rPr>
        <w:fldChar w:fldCharType="separate"/>
      </w:r>
      <w:hyperlink w:anchor="_Toc208824181" w:history="1">
        <w:r w:rsidR="00ED672F" w:rsidRPr="000A4DFB">
          <w:rPr>
            <w:rStyle w:val="Hyperlink"/>
            <w:noProof/>
            <w:lang w:val="en-GB"/>
          </w:rPr>
          <w:t>1.</w:t>
        </w:r>
        <w:r w:rsidR="00ED672F">
          <w:rPr>
            <w:rFonts w:asciiTheme="minorHAnsi" w:eastAsiaTheme="minorEastAsia" w:hAnsiTheme="minorHAnsi"/>
            <w:noProof/>
            <w:sz w:val="24"/>
            <w:szCs w:val="24"/>
          </w:rPr>
          <w:tab/>
        </w:r>
        <w:r w:rsidR="00ED672F" w:rsidRPr="000A4DFB">
          <w:rPr>
            <w:rStyle w:val="Hyperlink"/>
            <w:noProof/>
            <w:lang w:val="en-GB"/>
          </w:rPr>
          <w:t>Introduction</w:t>
        </w:r>
        <w:r w:rsidR="00ED672F">
          <w:rPr>
            <w:noProof/>
            <w:webHidden/>
          </w:rPr>
          <w:tab/>
        </w:r>
        <w:r w:rsidR="00ED672F">
          <w:rPr>
            <w:noProof/>
            <w:webHidden/>
          </w:rPr>
          <w:fldChar w:fldCharType="begin"/>
        </w:r>
        <w:r w:rsidR="00ED672F">
          <w:rPr>
            <w:noProof/>
            <w:webHidden/>
          </w:rPr>
          <w:instrText xml:space="preserve"> PAGEREF _Toc208824181 \h </w:instrText>
        </w:r>
        <w:r w:rsidR="00ED672F">
          <w:rPr>
            <w:noProof/>
            <w:webHidden/>
          </w:rPr>
        </w:r>
        <w:r w:rsidR="00ED672F">
          <w:rPr>
            <w:noProof/>
            <w:webHidden/>
          </w:rPr>
          <w:fldChar w:fldCharType="separate"/>
        </w:r>
        <w:r w:rsidR="00ED672F">
          <w:rPr>
            <w:noProof/>
            <w:webHidden/>
          </w:rPr>
          <w:t>3</w:t>
        </w:r>
        <w:r w:rsidR="00ED672F">
          <w:rPr>
            <w:noProof/>
            <w:webHidden/>
          </w:rPr>
          <w:fldChar w:fldCharType="end"/>
        </w:r>
      </w:hyperlink>
    </w:p>
    <w:p w14:paraId="36883493" w14:textId="4327FFE4" w:rsidR="00ED672F" w:rsidRDefault="00ED672F">
      <w:pPr>
        <w:pStyle w:val="TOC2"/>
        <w:tabs>
          <w:tab w:val="left" w:pos="960"/>
          <w:tab w:val="right" w:leader="dot" w:pos="9350"/>
        </w:tabs>
        <w:rPr>
          <w:rFonts w:asciiTheme="minorHAnsi" w:eastAsiaTheme="minorEastAsia" w:hAnsiTheme="minorHAnsi"/>
          <w:noProof/>
          <w:sz w:val="24"/>
          <w:szCs w:val="24"/>
        </w:rPr>
      </w:pPr>
      <w:hyperlink w:anchor="_Toc208824182" w:history="1">
        <w:r w:rsidRPr="000A4DFB">
          <w:rPr>
            <w:rStyle w:val="Hyperlink"/>
            <w:noProof/>
            <w:lang w:val="en-GB"/>
          </w:rPr>
          <w:t>1.1.</w:t>
        </w:r>
        <w:r>
          <w:rPr>
            <w:rFonts w:asciiTheme="minorHAnsi" w:eastAsiaTheme="minorEastAsia" w:hAnsiTheme="minorHAnsi"/>
            <w:noProof/>
            <w:sz w:val="24"/>
            <w:szCs w:val="24"/>
          </w:rPr>
          <w:tab/>
        </w:r>
        <w:r w:rsidRPr="000A4DFB">
          <w:rPr>
            <w:rStyle w:val="Hyperlink"/>
            <w:noProof/>
            <w:lang w:val="en-GB"/>
          </w:rPr>
          <w:t>Background and Objectives of the Study</w:t>
        </w:r>
        <w:r>
          <w:rPr>
            <w:noProof/>
            <w:webHidden/>
          </w:rPr>
          <w:tab/>
        </w:r>
        <w:r>
          <w:rPr>
            <w:noProof/>
            <w:webHidden/>
          </w:rPr>
          <w:fldChar w:fldCharType="begin"/>
        </w:r>
        <w:r>
          <w:rPr>
            <w:noProof/>
            <w:webHidden/>
          </w:rPr>
          <w:instrText xml:space="preserve"> PAGEREF _Toc208824182 \h </w:instrText>
        </w:r>
        <w:r>
          <w:rPr>
            <w:noProof/>
            <w:webHidden/>
          </w:rPr>
        </w:r>
        <w:r>
          <w:rPr>
            <w:noProof/>
            <w:webHidden/>
          </w:rPr>
          <w:fldChar w:fldCharType="separate"/>
        </w:r>
        <w:r>
          <w:rPr>
            <w:noProof/>
            <w:webHidden/>
          </w:rPr>
          <w:t>3</w:t>
        </w:r>
        <w:r>
          <w:rPr>
            <w:noProof/>
            <w:webHidden/>
          </w:rPr>
          <w:fldChar w:fldCharType="end"/>
        </w:r>
      </w:hyperlink>
    </w:p>
    <w:p w14:paraId="2255B595" w14:textId="76FBEE1F" w:rsidR="00ED672F" w:rsidRDefault="00ED672F">
      <w:pPr>
        <w:pStyle w:val="TOC1"/>
        <w:tabs>
          <w:tab w:val="left" w:pos="440"/>
          <w:tab w:val="right" w:leader="dot" w:pos="9350"/>
        </w:tabs>
        <w:rPr>
          <w:rFonts w:asciiTheme="minorHAnsi" w:eastAsiaTheme="minorEastAsia" w:hAnsiTheme="minorHAnsi"/>
          <w:noProof/>
          <w:sz w:val="24"/>
          <w:szCs w:val="24"/>
        </w:rPr>
      </w:pPr>
      <w:hyperlink w:anchor="_Toc208824183" w:history="1">
        <w:r w:rsidRPr="000A4DFB">
          <w:rPr>
            <w:rStyle w:val="Hyperlink"/>
            <w:noProof/>
            <w:lang w:val="en-GB"/>
          </w:rPr>
          <w:t>2.</w:t>
        </w:r>
        <w:r>
          <w:rPr>
            <w:rFonts w:asciiTheme="minorHAnsi" w:eastAsiaTheme="minorEastAsia" w:hAnsiTheme="minorHAnsi"/>
            <w:noProof/>
            <w:sz w:val="24"/>
            <w:szCs w:val="24"/>
          </w:rPr>
          <w:tab/>
        </w:r>
        <w:r w:rsidRPr="000A4DFB">
          <w:rPr>
            <w:rStyle w:val="Hyperlink"/>
            <w:noProof/>
            <w:lang w:val="en-GB"/>
          </w:rPr>
          <w:t>Smart Specialisation Strategies in the Danube Region</w:t>
        </w:r>
        <w:r>
          <w:rPr>
            <w:noProof/>
            <w:webHidden/>
          </w:rPr>
          <w:tab/>
        </w:r>
        <w:r>
          <w:rPr>
            <w:noProof/>
            <w:webHidden/>
          </w:rPr>
          <w:fldChar w:fldCharType="begin"/>
        </w:r>
        <w:r>
          <w:rPr>
            <w:noProof/>
            <w:webHidden/>
          </w:rPr>
          <w:instrText xml:space="preserve"> PAGEREF _Toc208824183 \h </w:instrText>
        </w:r>
        <w:r>
          <w:rPr>
            <w:noProof/>
            <w:webHidden/>
          </w:rPr>
        </w:r>
        <w:r>
          <w:rPr>
            <w:noProof/>
            <w:webHidden/>
          </w:rPr>
          <w:fldChar w:fldCharType="separate"/>
        </w:r>
        <w:r>
          <w:rPr>
            <w:noProof/>
            <w:webHidden/>
          </w:rPr>
          <w:t>4</w:t>
        </w:r>
        <w:r>
          <w:rPr>
            <w:noProof/>
            <w:webHidden/>
          </w:rPr>
          <w:fldChar w:fldCharType="end"/>
        </w:r>
      </w:hyperlink>
    </w:p>
    <w:p w14:paraId="4D23E839" w14:textId="07FD1ED9" w:rsidR="00ED672F" w:rsidRDefault="00ED672F">
      <w:pPr>
        <w:pStyle w:val="TOC2"/>
        <w:tabs>
          <w:tab w:val="right" w:leader="dot" w:pos="9350"/>
        </w:tabs>
        <w:rPr>
          <w:rFonts w:asciiTheme="minorHAnsi" w:eastAsiaTheme="minorEastAsia" w:hAnsiTheme="minorHAnsi"/>
          <w:noProof/>
          <w:sz w:val="24"/>
          <w:szCs w:val="24"/>
        </w:rPr>
      </w:pPr>
      <w:hyperlink w:anchor="_Toc208824184" w:history="1">
        <w:r w:rsidRPr="000A4DFB">
          <w:rPr>
            <w:rStyle w:val="Hyperlink"/>
            <w:noProof/>
            <w:lang w:val="en-GB"/>
          </w:rPr>
          <w:t>2.1. Overview of the Smart Specialisation Framework</w:t>
        </w:r>
        <w:r>
          <w:rPr>
            <w:noProof/>
            <w:webHidden/>
          </w:rPr>
          <w:tab/>
        </w:r>
        <w:r>
          <w:rPr>
            <w:noProof/>
            <w:webHidden/>
          </w:rPr>
          <w:fldChar w:fldCharType="begin"/>
        </w:r>
        <w:r>
          <w:rPr>
            <w:noProof/>
            <w:webHidden/>
          </w:rPr>
          <w:instrText xml:space="preserve"> PAGEREF _Toc208824184 \h </w:instrText>
        </w:r>
        <w:r>
          <w:rPr>
            <w:noProof/>
            <w:webHidden/>
          </w:rPr>
        </w:r>
        <w:r>
          <w:rPr>
            <w:noProof/>
            <w:webHidden/>
          </w:rPr>
          <w:fldChar w:fldCharType="separate"/>
        </w:r>
        <w:r>
          <w:rPr>
            <w:noProof/>
            <w:webHidden/>
          </w:rPr>
          <w:t>4</w:t>
        </w:r>
        <w:r>
          <w:rPr>
            <w:noProof/>
            <w:webHidden/>
          </w:rPr>
          <w:fldChar w:fldCharType="end"/>
        </w:r>
      </w:hyperlink>
    </w:p>
    <w:p w14:paraId="7590BD67" w14:textId="386226BE" w:rsidR="00ED672F" w:rsidRDefault="00ED672F">
      <w:pPr>
        <w:pStyle w:val="TOC2"/>
        <w:tabs>
          <w:tab w:val="right" w:leader="dot" w:pos="9350"/>
        </w:tabs>
        <w:rPr>
          <w:rFonts w:asciiTheme="minorHAnsi" w:eastAsiaTheme="minorEastAsia" w:hAnsiTheme="minorHAnsi"/>
          <w:noProof/>
          <w:sz w:val="24"/>
          <w:szCs w:val="24"/>
        </w:rPr>
      </w:pPr>
      <w:hyperlink w:anchor="_Toc208824185" w:history="1">
        <w:r w:rsidRPr="000A4DFB">
          <w:rPr>
            <w:rStyle w:val="Hyperlink"/>
            <w:noProof/>
            <w:lang w:val="en-GB"/>
          </w:rPr>
          <w:t>2.2. Relevance of S3 to the Danube Region</w:t>
        </w:r>
        <w:r>
          <w:rPr>
            <w:noProof/>
            <w:webHidden/>
          </w:rPr>
          <w:tab/>
        </w:r>
        <w:r>
          <w:rPr>
            <w:noProof/>
            <w:webHidden/>
          </w:rPr>
          <w:fldChar w:fldCharType="begin"/>
        </w:r>
        <w:r>
          <w:rPr>
            <w:noProof/>
            <w:webHidden/>
          </w:rPr>
          <w:instrText xml:space="preserve"> PAGEREF _Toc208824185 \h </w:instrText>
        </w:r>
        <w:r>
          <w:rPr>
            <w:noProof/>
            <w:webHidden/>
          </w:rPr>
        </w:r>
        <w:r>
          <w:rPr>
            <w:noProof/>
            <w:webHidden/>
          </w:rPr>
          <w:fldChar w:fldCharType="separate"/>
        </w:r>
        <w:r>
          <w:rPr>
            <w:noProof/>
            <w:webHidden/>
          </w:rPr>
          <w:t>4</w:t>
        </w:r>
        <w:r>
          <w:rPr>
            <w:noProof/>
            <w:webHidden/>
          </w:rPr>
          <w:fldChar w:fldCharType="end"/>
        </w:r>
      </w:hyperlink>
    </w:p>
    <w:p w14:paraId="4CBF0B6F" w14:textId="2E78071C" w:rsidR="00ED672F" w:rsidRDefault="00ED672F">
      <w:pPr>
        <w:pStyle w:val="TOC2"/>
        <w:tabs>
          <w:tab w:val="right" w:leader="dot" w:pos="9350"/>
        </w:tabs>
        <w:rPr>
          <w:rFonts w:asciiTheme="minorHAnsi" w:eastAsiaTheme="minorEastAsia" w:hAnsiTheme="minorHAnsi"/>
          <w:noProof/>
          <w:sz w:val="24"/>
          <w:szCs w:val="24"/>
        </w:rPr>
      </w:pPr>
      <w:hyperlink w:anchor="_Toc208824186" w:history="1">
        <w:r w:rsidRPr="000A4DFB">
          <w:rPr>
            <w:rStyle w:val="Hyperlink"/>
            <w:noProof/>
            <w:lang w:val="en-GB"/>
          </w:rPr>
          <w:t>2.3. The Importance of Research Cooperation</w:t>
        </w:r>
        <w:r>
          <w:rPr>
            <w:noProof/>
            <w:webHidden/>
          </w:rPr>
          <w:tab/>
        </w:r>
        <w:r>
          <w:rPr>
            <w:noProof/>
            <w:webHidden/>
          </w:rPr>
          <w:fldChar w:fldCharType="begin"/>
        </w:r>
        <w:r>
          <w:rPr>
            <w:noProof/>
            <w:webHidden/>
          </w:rPr>
          <w:instrText xml:space="preserve"> PAGEREF _Toc208824186 \h </w:instrText>
        </w:r>
        <w:r>
          <w:rPr>
            <w:noProof/>
            <w:webHidden/>
          </w:rPr>
        </w:r>
        <w:r>
          <w:rPr>
            <w:noProof/>
            <w:webHidden/>
          </w:rPr>
          <w:fldChar w:fldCharType="separate"/>
        </w:r>
        <w:r>
          <w:rPr>
            <w:noProof/>
            <w:webHidden/>
          </w:rPr>
          <w:t>5</w:t>
        </w:r>
        <w:r>
          <w:rPr>
            <w:noProof/>
            <w:webHidden/>
          </w:rPr>
          <w:fldChar w:fldCharType="end"/>
        </w:r>
      </w:hyperlink>
    </w:p>
    <w:p w14:paraId="58267445" w14:textId="45EE739F" w:rsidR="00ED672F" w:rsidRDefault="00ED672F">
      <w:pPr>
        <w:pStyle w:val="TOC1"/>
        <w:tabs>
          <w:tab w:val="left" w:pos="440"/>
          <w:tab w:val="right" w:leader="dot" w:pos="9350"/>
        </w:tabs>
        <w:rPr>
          <w:rFonts w:asciiTheme="minorHAnsi" w:eastAsiaTheme="minorEastAsia" w:hAnsiTheme="minorHAnsi"/>
          <w:noProof/>
          <w:sz w:val="24"/>
          <w:szCs w:val="24"/>
        </w:rPr>
      </w:pPr>
      <w:hyperlink w:anchor="_Toc208824187" w:history="1">
        <w:r w:rsidRPr="000A4DFB">
          <w:rPr>
            <w:rStyle w:val="Hyperlink"/>
            <w:noProof/>
            <w:lang w:val="en-GB"/>
          </w:rPr>
          <w:t>3.</w:t>
        </w:r>
        <w:r>
          <w:rPr>
            <w:rFonts w:asciiTheme="minorHAnsi" w:eastAsiaTheme="minorEastAsia" w:hAnsiTheme="minorHAnsi"/>
            <w:noProof/>
            <w:sz w:val="24"/>
            <w:szCs w:val="24"/>
          </w:rPr>
          <w:tab/>
        </w:r>
        <w:r w:rsidRPr="000A4DFB">
          <w:rPr>
            <w:rStyle w:val="Hyperlink"/>
            <w:noProof/>
            <w:lang w:val="en-GB"/>
          </w:rPr>
          <w:t>Identification of Key Research Domains in the Danube Region Based on S3 Priority Areas</w:t>
        </w:r>
        <w:r>
          <w:rPr>
            <w:noProof/>
            <w:webHidden/>
          </w:rPr>
          <w:tab/>
        </w:r>
        <w:r>
          <w:rPr>
            <w:noProof/>
            <w:webHidden/>
          </w:rPr>
          <w:fldChar w:fldCharType="begin"/>
        </w:r>
        <w:r>
          <w:rPr>
            <w:noProof/>
            <w:webHidden/>
          </w:rPr>
          <w:instrText xml:space="preserve"> PAGEREF _Toc208824187 \h </w:instrText>
        </w:r>
        <w:r>
          <w:rPr>
            <w:noProof/>
            <w:webHidden/>
          </w:rPr>
        </w:r>
        <w:r>
          <w:rPr>
            <w:noProof/>
            <w:webHidden/>
          </w:rPr>
          <w:fldChar w:fldCharType="separate"/>
        </w:r>
        <w:r>
          <w:rPr>
            <w:noProof/>
            <w:webHidden/>
          </w:rPr>
          <w:t>6</w:t>
        </w:r>
        <w:r>
          <w:rPr>
            <w:noProof/>
            <w:webHidden/>
          </w:rPr>
          <w:fldChar w:fldCharType="end"/>
        </w:r>
      </w:hyperlink>
    </w:p>
    <w:p w14:paraId="564757D4" w14:textId="29A2E55A" w:rsidR="00ED672F" w:rsidRDefault="00ED672F">
      <w:pPr>
        <w:pStyle w:val="TOC2"/>
        <w:tabs>
          <w:tab w:val="right" w:leader="dot" w:pos="9350"/>
        </w:tabs>
        <w:rPr>
          <w:rFonts w:asciiTheme="minorHAnsi" w:eastAsiaTheme="minorEastAsia" w:hAnsiTheme="minorHAnsi"/>
          <w:noProof/>
          <w:sz w:val="24"/>
          <w:szCs w:val="24"/>
        </w:rPr>
      </w:pPr>
      <w:hyperlink w:anchor="_Toc208824188" w:history="1">
        <w:r w:rsidRPr="000A4DFB">
          <w:rPr>
            <w:rStyle w:val="Hyperlink"/>
            <w:noProof/>
            <w:lang w:val="en-GB"/>
          </w:rPr>
          <w:t>3.1. The most common S3 priority areas in the Danube region</w:t>
        </w:r>
        <w:r>
          <w:rPr>
            <w:noProof/>
            <w:webHidden/>
          </w:rPr>
          <w:tab/>
        </w:r>
        <w:r>
          <w:rPr>
            <w:noProof/>
            <w:webHidden/>
          </w:rPr>
          <w:fldChar w:fldCharType="begin"/>
        </w:r>
        <w:r>
          <w:rPr>
            <w:noProof/>
            <w:webHidden/>
          </w:rPr>
          <w:instrText xml:space="preserve"> PAGEREF _Toc208824188 \h </w:instrText>
        </w:r>
        <w:r>
          <w:rPr>
            <w:noProof/>
            <w:webHidden/>
          </w:rPr>
        </w:r>
        <w:r>
          <w:rPr>
            <w:noProof/>
            <w:webHidden/>
          </w:rPr>
          <w:fldChar w:fldCharType="separate"/>
        </w:r>
        <w:r>
          <w:rPr>
            <w:noProof/>
            <w:webHidden/>
          </w:rPr>
          <w:t>6</w:t>
        </w:r>
        <w:r>
          <w:rPr>
            <w:noProof/>
            <w:webHidden/>
          </w:rPr>
          <w:fldChar w:fldCharType="end"/>
        </w:r>
      </w:hyperlink>
    </w:p>
    <w:p w14:paraId="0A0134EA" w14:textId="283A294D" w:rsidR="00ED672F" w:rsidRDefault="00ED672F">
      <w:pPr>
        <w:pStyle w:val="TOC1"/>
        <w:tabs>
          <w:tab w:val="left" w:pos="440"/>
          <w:tab w:val="right" w:leader="dot" w:pos="9350"/>
        </w:tabs>
        <w:rPr>
          <w:rFonts w:asciiTheme="minorHAnsi" w:eastAsiaTheme="minorEastAsia" w:hAnsiTheme="minorHAnsi"/>
          <w:noProof/>
          <w:sz w:val="24"/>
          <w:szCs w:val="24"/>
        </w:rPr>
      </w:pPr>
      <w:hyperlink w:anchor="_Toc208824189" w:history="1">
        <w:r w:rsidRPr="000A4DFB">
          <w:rPr>
            <w:rStyle w:val="Hyperlink"/>
            <w:noProof/>
            <w:lang w:val="en-GB"/>
          </w:rPr>
          <w:t>4.</w:t>
        </w:r>
        <w:r>
          <w:rPr>
            <w:rFonts w:asciiTheme="minorHAnsi" w:eastAsiaTheme="minorEastAsia" w:hAnsiTheme="minorHAnsi"/>
            <w:noProof/>
            <w:sz w:val="24"/>
            <w:szCs w:val="24"/>
          </w:rPr>
          <w:tab/>
        </w:r>
        <w:r w:rsidRPr="000A4DFB">
          <w:rPr>
            <w:rStyle w:val="Hyperlink"/>
            <w:noProof/>
            <w:lang w:val="en-GB"/>
          </w:rPr>
          <w:t>Unveiling collaboration patterns and networks in the Danube region countries</w:t>
        </w:r>
        <w:r>
          <w:rPr>
            <w:noProof/>
            <w:webHidden/>
          </w:rPr>
          <w:tab/>
        </w:r>
        <w:r>
          <w:rPr>
            <w:noProof/>
            <w:webHidden/>
          </w:rPr>
          <w:fldChar w:fldCharType="begin"/>
        </w:r>
        <w:r>
          <w:rPr>
            <w:noProof/>
            <w:webHidden/>
          </w:rPr>
          <w:instrText xml:space="preserve"> PAGEREF _Toc208824189 \h </w:instrText>
        </w:r>
        <w:r>
          <w:rPr>
            <w:noProof/>
            <w:webHidden/>
          </w:rPr>
        </w:r>
        <w:r>
          <w:rPr>
            <w:noProof/>
            <w:webHidden/>
          </w:rPr>
          <w:fldChar w:fldCharType="separate"/>
        </w:r>
        <w:r>
          <w:rPr>
            <w:noProof/>
            <w:webHidden/>
          </w:rPr>
          <w:t>8</w:t>
        </w:r>
        <w:r>
          <w:rPr>
            <w:noProof/>
            <w:webHidden/>
          </w:rPr>
          <w:fldChar w:fldCharType="end"/>
        </w:r>
      </w:hyperlink>
    </w:p>
    <w:p w14:paraId="6B57A0C3" w14:textId="2C619F7D" w:rsidR="00ED672F" w:rsidRDefault="00ED672F">
      <w:pPr>
        <w:pStyle w:val="TOC2"/>
        <w:tabs>
          <w:tab w:val="left" w:pos="960"/>
          <w:tab w:val="right" w:leader="dot" w:pos="9350"/>
        </w:tabs>
        <w:rPr>
          <w:rFonts w:asciiTheme="minorHAnsi" w:eastAsiaTheme="minorEastAsia" w:hAnsiTheme="minorHAnsi"/>
          <w:noProof/>
          <w:sz w:val="24"/>
          <w:szCs w:val="24"/>
        </w:rPr>
      </w:pPr>
      <w:hyperlink w:anchor="_Toc208824190" w:history="1">
        <w:r w:rsidRPr="000A4DFB">
          <w:rPr>
            <w:rStyle w:val="Hyperlink"/>
            <w:noProof/>
            <w:lang w:val="en-GB"/>
          </w:rPr>
          <w:t>4.1.</w:t>
        </w:r>
        <w:r>
          <w:rPr>
            <w:rFonts w:asciiTheme="minorHAnsi" w:eastAsiaTheme="minorEastAsia" w:hAnsiTheme="minorHAnsi"/>
            <w:noProof/>
            <w:sz w:val="24"/>
            <w:szCs w:val="24"/>
          </w:rPr>
          <w:tab/>
        </w:r>
        <w:r w:rsidRPr="000A4DFB">
          <w:rPr>
            <w:rStyle w:val="Hyperlink"/>
            <w:noProof/>
            <w:lang w:val="en-GB"/>
          </w:rPr>
          <w:t>Research Participation of the Danube Region countries in Horizon Europe Projects</w:t>
        </w:r>
        <w:r>
          <w:rPr>
            <w:noProof/>
            <w:webHidden/>
          </w:rPr>
          <w:tab/>
        </w:r>
        <w:r>
          <w:rPr>
            <w:noProof/>
            <w:webHidden/>
          </w:rPr>
          <w:fldChar w:fldCharType="begin"/>
        </w:r>
        <w:r>
          <w:rPr>
            <w:noProof/>
            <w:webHidden/>
          </w:rPr>
          <w:instrText xml:space="preserve"> PAGEREF _Toc208824190 \h </w:instrText>
        </w:r>
        <w:r>
          <w:rPr>
            <w:noProof/>
            <w:webHidden/>
          </w:rPr>
        </w:r>
        <w:r>
          <w:rPr>
            <w:noProof/>
            <w:webHidden/>
          </w:rPr>
          <w:fldChar w:fldCharType="separate"/>
        </w:r>
        <w:r>
          <w:rPr>
            <w:noProof/>
            <w:webHidden/>
          </w:rPr>
          <w:t>8</w:t>
        </w:r>
        <w:r>
          <w:rPr>
            <w:noProof/>
            <w:webHidden/>
          </w:rPr>
          <w:fldChar w:fldCharType="end"/>
        </w:r>
      </w:hyperlink>
    </w:p>
    <w:p w14:paraId="1BBF5C0B" w14:textId="30888E81" w:rsidR="00ED672F" w:rsidRDefault="00ED672F">
      <w:pPr>
        <w:pStyle w:val="TOC2"/>
        <w:tabs>
          <w:tab w:val="left" w:pos="960"/>
          <w:tab w:val="right" w:leader="dot" w:pos="9350"/>
        </w:tabs>
        <w:rPr>
          <w:rFonts w:asciiTheme="minorHAnsi" w:eastAsiaTheme="minorEastAsia" w:hAnsiTheme="minorHAnsi"/>
          <w:noProof/>
          <w:sz w:val="24"/>
          <w:szCs w:val="24"/>
        </w:rPr>
      </w:pPr>
      <w:hyperlink w:anchor="_Toc208824191" w:history="1">
        <w:r w:rsidRPr="000A4DFB">
          <w:rPr>
            <w:rStyle w:val="Hyperlink"/>
            <w:noProof/>
            <w:lang w:val="en-GB"/>
          </w:rPr>
          <w:t>4.2.</w:t>
        </w:r>
        <w:r>
          <w:rPr>
            <w:rFonts w:asciiTheme="minorHAnsi" w:eastAsiaTheme="minorEastAsia" w:hAnsiTheme="minorHAnsi"/>
            <w:noProof/>
            <w:sz w:val="24"/>
            <w:szCs w:val="24"/>
          </w:rPr>
          <w:tab/>
        </w:r>
        <w:r w:rsidRPr="000A4DFB">
          <w:rPr>
            <w:rStyle w:val="Hyperlink"/>
            <w:noProof/>
            <w:lang w:val="en-GB"/>
          </w:rPr>
          <w:t>Key research sub-fields in the Danube Region: focus on top S3 priorities</w:t>
        </w:r>
        <w:r>
          <w:rPr>
            <w:noProof/>
            <w:webHidden/>
          </w:rPr>
          <w:tab/>
        </w:r>
        <w:r>
          <w:rPr>
            <w:noProof/>
            <w:webHidden/>
          </w:rPr>
          <w:fldChar w:fldCharType="begin"/>
        </w:r>
        <w:r>
          <w:rPr>
            <w:noProof/>
            <w:webHidden/>
          </w:rPr>
          <w:instrText xml:space="preserve"> PAGEREF _Toc208824191 \h </w:instrText>
        </w:r>
        <w:r>
          <w:rPr>
            <w:noProof/>
            <w:webHidden/>
          </w:rPr>
        </w:r>
        <w:r>
          <w:rPr>
            <w:noProof/>
            <w:webHidden/>
          </w:rPr>
          <w:fldChar w:fldCharType="separate"/>
        </w:r>
        <w:r>
          <w:rPr>
            <w:noProof/>
            <w:webHidden/>
          </w:rPr>
          <w:t>9</w:t>
        </w:r>
        <w:r>
          <w:rPr>
            <w:noProof/>
            <w:webHidden/>
          </w:rPr>
          <w:fldChar w:fldCharType="end"/>
        </w:r>
      </w:hyperlink>
    </w:p>
    <w:p w14:paraId="173AC793" w14:textId="16840F90" w:rsidR="00ED672F" w:rsidRDefault="00ED672F">
      <w:pPr>
        <w:pStyle w:val="TOC2"/>
        <w:tabs>
          <w:tab w:val="left" w:pos="960"/>
          <w:tab w:val="right" w:leader="dot" w:pos="9350"/>
        </w:tabs>
        <w:rPr>
          <w:rFonts w:asciiTheme="minorHAnsi" w:eastAsiaTheme="minorEastAsia" w:hAnsiTheme="minorHAnsi"/>
          <w:noProof/>
          <w:sz w:val="24"/>
          <w:szCs w:val="24"/>
        </w:rPr>
      </w:pPr>
      <w:hyperlink w:anchor="_Toc208824192" w:history="1">
        <w:r w:rsidRPr="000A4DFB">
          <w:rPr>
            <w:rStyle w:val="Hyperlink"/>
            <w:noProof/>
            <w:lang w:val="en-GB"/>
          </w:rPr>
          <w:t>4.3.</w:t>
        </w:r>
        <w:r>
          <w:rPr>
            <w:rFonts w:asciiTheme="minorHAnsi" w:eastAsiaTheme="minorEastAsia" w:hAnsiTheme="minorHAnsi"/>
            <w:noProof/>
            <w:sz w:val="24"/>
            <w:szCs w:val="24"/>
          </w:rPr>
          <w:tab/>
        </w:r>
        <w:r w:rsidRPr="000A4DFB">
          <w:rPr>
            <w:rStyle w:val="Hyperlink"/>
            <w:noProof/>
            <w:lang w:val="en-GB"/>
          </w:rPr>
          <w:t>Collaboration networks in the Danube Region: focus on main S3 areas</w:t>
        </w:r>
        <w:r>
          <w:rPr>
            <w:noProof/>
            <w:webHidden/>
          </w:rPr>
          <w:tab/>
        </w:r>
        <w:r>
          <w:rPr>
            <w:noProof/>
            <w:webHidden/>
          </w:rPr>
          <w:fldChar w:fldCharType="begin"/>
        </w:r>
        <w:r>
          <w:rPr>
            <w:noProof/>
            <w:webHidden/>
          </w:rPr>
          <w:instrText xml:space="preserve"> PAGEREF _Toc208824192 \h </w:instrText>
        </w:r>
        <w:r>
          <w:rPr>
            <w:noProof/>
            <w:webHidden/>
          </w:rPr>
        </w:r>
        <w:r>
          <w:rPr>
            <w:noProof/>
            <w:webHidden/>
          </w:rPr>
          <w:fldChar w:fldCharType="separate"/>
        </w:r>
        <w:r>
          <w:rPr>
            <w:noProof/>
            <w:webHidden/>
          </w:rPr>
          <w:t>12</w:t>
        </w:r>
        <w:r>
          <w:rPr>
            <w:noProof/>
            <w:webHidden/>
          </w:rPr>
          <w:fldChar w:fldCharType="end"/>
        </w:r>
      </w:hyperlink>
    </w:p>
    <w:p w14:paraId="45070102" w14:textId="6C7B4E14" w:rsidR="00ED672F" w:rsidRDefault="00ED672F">
      <w:pPr>
        <w:pStyle w:val="TOC3"/>
        <w:tabs>
          <w:tab w:val="left" w:pos="1200"/>
          <w:tab w:val="right" w:leader="dot" w:pos="9350"/>
        </w:tabs>
        <w:rPr>
          <w:rFonts w:asciiTheme="minorHAnsi" w:eastAsiaTheme="minorEastAsia" w:hAnsiTheme="minorHAnsi"/>
          <w:noProof/>
          <w:sz w:val="24"/>
          <w:szCs w:val="24"/>
        </w:rPr>
      </w:pPr>
      <w:hyperlink w:anchor="_Toc208824193" w:history="1">
        <w:r w:rsidRPr="000A4DFB">
          <w:rPr>
            <w:rStyle w:val="Hyperlink"/>
            <w:noProof/>
            <w:lang w:val="en-GB"/>
          </w:rPr>
          <w:t>4.3.1.</w:t>
        </w:r>
        <w:r>
          <w:rPr>
            <w:rFonts w:asciiTheme="minorHAnsi" w:eastAsiaTheme="minorEastAsia" w:hAnsiTheme="minorHAnsi"/>
            <w:noProof/>
            <w:sz w:val="24"/>
            <w:szCs w:val="24"/>
          </w:rPr>
          <w:tab/>
        </w:r>
        <w:r w:rsidRPr="000A4DFB">
          <w:rPr>
            <w:rStyle w:val="Hyperlink"/>
            <w:noProof/>
            <w:lang w:val="en-GB"/>
          </w:rPr>
          <w:t>Research cooperation in Agri-Food, Bioeconomy &amp; Biotechnology</w:t>
        </w:r>
        <w:r>
          <w:rPr>
            <w:noProof/>
            <w:webHidden/>
          </w:rPr>
          <w:tab/>
        </w:r>
        <w:r>
          <w:rPr>
            <w:noProof/>
            <w:webHidden/>
          </w:rPr>
          <w:fldChar w:fldCharType="begin"/>
        </w:r>
        <w:r>
          <w:rPr>
            <w:noProof/>
            <w:webHidden/>
          </w:rPr>
          <w:instrText xml:space="preserve"> PAGEREF _Toc208824193 \h </w:instrText>
        </w:r>
        <w:r>
          <w:rPr>
            <w:noProof/>
            <w:webHidden/>
          </w:rPr>
        </w:r>
        <w:r>
          <w:rPr>
            <w:noProof/>
            <w:webHidden/>
          </w:rPr>
          <w:fldChar w:fldCharType="separate"/>
        </w:r>
        <w:r>
          <w:rPr>
            <w:noProof/>
            <w:webHidden/>
          </w:rPr>
          <w:t>14</w:t>
        </w:r>
        <w:r>
          <w:rPr>
            <w:noProof/>
            <w:webHidden/>
          </w:rPr>
          <w:fldChar w:fldCharType="end"/>
        </w:r>
      </w:hyperlink>
    </w:p>
    <w:p w14:paraId="38BE82D1" w14:textId="36263A3D" w:rsidR="00ED672F" w:rsidRDefault="00ED672F">
      <w:pPr>
        <w:pStyle w:val="TOC3"/>
        <w:tabs>
          <w:tab w:val="left" w:pos="1200"/>
          <w:tab w:val="right" w:leader="dot" w:pos="9350"/>
        </w:tabs>
        <w:rPr>
          <w:rFonts w:asciiTheme="minorHAnsi" w:eastAsiaTheme="minorEastAsia" w:hAnsiTheme="minorHAnsi"/>
          <w:noProof/>
          <w:sz w:val="24"/>
          <w:szCs w:val="24"/>
        </w:rPr>
      </w:pPr>
      <w:hyperlink w:anchor="_Toc208824194" w:history="1">
        <w:r w:rsidRPr="000A4DFB">
          <w:rPr>
            <w:rStyle w:val="Hyperlink"/>
            <w:noProof/>
            <w:lang w:val="en-GB"/>
          </w:rPr>
          <w:t>4.3.2.</w:t>
        </w:r>
        <w:r>
          <w:rPr>
            <w:rFonts w:asciiTheme="minorHAnsi" w:eastAsiaTheme="minorEastAsia" w:hAnsiTheme="minorHAnsi"/>
            <w:noProof/>
            <w:sz w:val="24"/>
            <w:szCs w:val="24"/>
          </w:rPr>
          <w:tab/>
        </w:r>
        <w:r w:rsidRPr="000A4DFB">
          <w:rPr>
            <w:rStyle w:val="Hyperlink"/>
            <w:noProof/>
            <w:lang w:val="en-GB"/>
          </w:rPr>
          <w:t>Research cooperation in ICT and Digitalisation</w:t>
        </w:r>
        <w:r>
          <w:rPr>
            <w:noProof/>
            <w:webHidden/>
          </w:rPr>
          <w:tab/>
        </w:r>
        <w:r>
          <w:rPr>
            <w:noProof/>
            <w:webHidden/>
          </w:rPr>
          <w:fldChar w:fldCharType="begin"/>
        </w:r>
        <w:r>
          <w:rPr>
            <w:noProof/>
            <w:webHidden/>
          </w:rPr>
          <w:instrText xml:space="preserve"> PAGEREF _Toc208824194 \h </w:instrText>
        </w:r>
        <w:r>
          <w:rPr>
            <w:noProof/>
            <w:webHidden/>
          </w:rPr>
        </w:r>
        <w:r>
          <w:rPr>
            <w:noProof/>
            <w:webHidden/>
          </w:rPr>
          <w:fldChar w:fldCharType="separate"/>
        </w:r>
        <w:r>
          <w:rPr>
            <w:noProof/>
            <w:webHidden/>
          </w:rPr>
          <w:t>18</w:t>
        </w:r>
        <w:r>
          <w:rPr>
            <w:noProof/>
            <w:webHidden/>
          </w:rPr>
          <w:fldChar w:fldCharType="end"/>
        </w:r>
      </w:hyperlink>
    </w:p>
    <w:p w14:paraId="7FAD64A3" w14:textId="38E13E2E" w:rsidR="00ED672F" w:rsidRDefault="00ED672F">
      <w:pPr>
        <w:pStyle w:val="TOC3"/>
        <w:tabs>
          <w:tab w:val="left" w:pos="1200"/>
          <w:tab w:val="right" w:leader="dot" w:pos="9350"/>
        </w:tabs>
        <w:rPr>
          <w:rFonts w:asciiTheme="minorHAnsi" w:eastAsiaTheme="minorEastAsia" w:hAnsiTheme="minorHAnsi"/>
          <w:noProof/>
          <w:sz w:val="24"/>
          <w:szCs w:val="24"/>
        </w:rPr>
      </w:pPr>
      <w:hyperlink w:anchor="_Toc208824195" w:history="1">
        <w:r w:rsidRPr="000A4DFB">
          <w:rPr>
            <w:rStyle w:val="Hyperlink"/>
            <w:noProof/>
            <w:lang w:val="en-GB"/>
          </w:rPr>
          <w:t>4.3.3.</w:t>
        </w:r>
        <w:r>
          <w:rPr>
            <w:rFonts w:asciiTheme="minorHAnsi" w:eastAsiaTheme="minorEastAsia" w:hAnsiTheme="minorHAnsi"/>
            <w:noProof/>
            <w:sz w:val="24"/>
            <w:szCs w:val="24"/>
          </w:rPr>
          <w:tab/>
        </w:r>
        <w:r w:rsidRPr="000A4DFB">
          <w:rPr>
            <w:rStyle w:val="Hyperlink"/>
            <w:noProof/>
            <w:lang w:val="en-GB"/>
          </w:rPr>
          <w:t>Research cooperation in Climate and Energy area</w:t>
        </w:r>
        <w:r>
          <w:rPr>
            <w:noProof/>
            <w:webHidden/>
          </w:rPr>
          <w:tab/>
        </w:r>
        <w:r>
          <w:rPr>
            <w:noProof/>
            <w:webHidden/>
          </w:rPr>
          <w:fldChar w:fldCharType="begin"/>
        </w:r>
        <w:r>
          <w:rPr>
            <w:noProof/>
            <w:webHidden/>
          </w:rPr>
          <w:instrText xml:space="preserve"> PAGEREF _Toc208824195 \h </w:instrText>
        </w:r>
        <w:r>
          <w:rPr>
            <w:noProof/>
            <w:webHidden/>
          </w:rPr>
        </w:r>
        <w:r>
          <w:rPr>
            <w:noProof/>
            <w:webHidden/>
          </w:rPr>
          <w:fldChar w:fldCharType="separate"/>
        </w:r>
        <w:r>
          <w:rPr>
            <w:noProof/>
            <w:webHidden/>
          </w:rPr>
          <w:t>22</w:t>
        </w:r>
        <w:r>
          <w:rPr>
            <w:noProof/>
            <w:webHidden/>
          </w:rPr>
          <w:fldChar w:fldCharType="end"/>
        </w:r>
      </w:hyperlink>
    </w:p>
    <w:p w14:paraId="39FAC3D1" w14:textId="15A5E0F3" w:rsidR="00ED672F" w:rsidRDefault="00ED672F">
      <w:pPr>
        <w:pStyle w:val="TOC1"/>
        <w:tabs>
          <w:tab w:val="left" w:pos="440"/>
          <w:tab w:val="right" w:leader="dot" w:pos="9350"/>
        </w:tabs>
        <w:rPr>
          <w:rFonts w:asciiTheme="minorHAnsi" w:eastAsiaTheme="minorEastAsia" w:hAnsiTheme="minorHAnsi"/>
          <w:noProof/>
          <w:sz w:val="24"/>
          <w:szCs w:val="24"/>
        </w:rPr>
      </w:pPr>
      <w:hyperlink w:anchor="_Toc208824196" w:history="1">
        <w:r w:rsidRPr="000A4DFB">
          <w:rPr>
            <w:rStyle w:val="Hyperlink"/>
            <w:noProof/>
            <w:lang w:val="en-GB"/>
          </w:rPr>
          <w:t>5.</w:t>
        </w:r>
        <w:r>
          <w:rPr>
            <w:rFonts w:asciiTheme="minorHAnsi" w:eastAsiaTheme="minorEastAsia" w:hAnsiTheme="minorHAnsi"/>
            <w:noProof/>
            <w:sz w:val="24"/>
            <w:szCs w:val="24"/>
          </w:rPr>
          <w:tab/>
        </w:r>
        <w:r w:rsidRPr="000A4DFB">
          <w:rPr>
            <w:rStyle w:val="Hyperlink"/>
            <w:noProof/>
            <w:lang w:val="en-GB"/>
          </w:rPr>
          <w:t>Key Findings and Policy Recommendations</w:t>
        </w:r>
        <w:r>
          <w:rPr>
            <w:noProof/>
            <w:webHidden/>
          </w:rPr>
          <w:tab/>
        </w:r>
        <w:r>
          <w:rPr>
            <w:noProof/>
            <w:webHidden/>
          </w:rPr>
          <w:fldChar w:fldCharType="begin"/>
        </w:r>
        <w:r>
          <w:rPr>
            <w:noProof/>
            <w:webHidden/>
          </w:rPr>
          <w:instrText xml:space="preserve"> PAGEREF _Toc208824196 \h </w:instrText>
        </w:r>
        <w:r>
          <w:rPr>
            <w:noProof/>
            <w:webHidden/>
          </w:rPr>
        </w:r>
        <w:r>
          <w:rPr>
            <w:noProof/>
            <w:webHidden/>
          </w:rPr>
          <w:fldChar w:fldCharType="separate"/>
        </w:r>
        <w:r>
          <w:rPr>
            <w:noProof/>
            <w:webHidden/>
          </w:rPr>
          <w:t>27</w:t>
        </w:r>
        <w:r>
          <w:rPr>
            <w:noProof/>
            <w:webHidden/>
          </w:rPr>
          <w:fldChar w:fldCharType="end"/>
        </w:r>
      </w:hyperlink>
    </w:p>
    <w:p w14:paraId="6436F37A" w14:textId="5C3123AE" w:rsidR="00ED672F" w:rsidRDefault="00ED672F">
      <w:pPr>
        <w:pStyle w:val="TOC2"/>
        <w:tabs>
          <w:tab w:val="right" w:leader="dot" w:pos="9350"/>
        </w:tabs>
        <w:rPr>
          <w:rFonts w:asciiTheme="minorHAnsi" w:eastAsiaTheme="minorEastAsia" w:hAnsiTheme="minorHAnsi"/>
          <w:noProof/>
          <w:sz w:val="24"/>
          <w:szCs w:val="24"/>
        </w:rPr>
      </w:pPr>
      <w:hyperlink w:anchor="_Toc208824197" w:history="1">
        <w:r w:rsidRPr="000A4DFB">
          <w:rPr>
            <w:rStyle w:val="Hyperlink"/>
            <w:noProof/>
            <w:lang w:val="en-GB"/>
          </w:rPr>
          <w:t>5.1. Summary of Key Findings</w:t>
        </w:r>
        <w:r>
          <w:rPr>
            <w:noProof/>
            <w:webHidden/>
          </w:rPr>
          <w:tab/>
        </w:r>
        <w:r>
          <w:rPr>
            <w:noProof/>
            <w:webHidden/>
          </w:rPr>
          <w:fldChar w:fldCharType="begin"/>
        </w:r>
        <w:r>
          <w:rPr>
            <w:noProof/>
            <w:webHidden/>
          </w:rPr>
          <w:instrText xml:space="preserve"> PAGEREF _Toc208824197 \h </w:instrText>
        </w:r>
        <w:r>
          <w:rPr>
            <w:noProof/>
            <w:webHidden/>
          </w:rPr>
        </w:r>
        <w:r>
          <w:rPr>
            <w:noProof/>
            <w:webHidden/>
          </w:rPr>
          <w:fldChar w:fldCharType="separate"/>
        </w:r>
        <w:r>
          <w:rPr>
            <w:noProof/>
            <w:webHidden/>
          </w:rPr>
          <w:t>27</w:t>
        </w:r>
        <w:r>
          <w:rPr>
            <w:noProof/>
            <w:webHidden/>
          </w:rPr>
          <w:fldChar w:fldCharType="end"/>
        </w:r>
      </w:hyperlink>
    </w:p>
    <w:p w14:paraId="2B278542" w14:textId="0827FD3D" w:rsidR="00ED672F" w:rsidRDefault="00ED672F">
      <w:pPr>
        <w:pStyle w:val="TOC2"/>
        <w:tabs>
          <w:tab w:val="right" w:leader="dot" w:pos="9350"/>
        </w:tabs>
        <w:rPr>
          <w:rFonts w:asciiTheme="minorHAnsi" w:eastAsiaTheme="minorEastAsia" w:hAnsiTheme="minorHAnsi"/>
          <w:noProof/>
          <w:sz w:val="24"/>
          <w:szCs w:val="24"/>
        </w:rPr>
      </w:pPr>
      <w:hyperlink w:anchor="_Toc208824198" w:history="1">
        <w:r w:rsidRPr="000A4DFB">
          <w:rPr>
            <w:rStyle w:val="Hyperlink"/>
            <w:noProof/>
            <w:lang w:val="en-GB"/>
          </w:rPr>
          <w:t>5.2. Future Directions for Research Collaboration in the Danube Region</w:t>
        </w:r>
        <w:r>
          <w:rPr>
            <w:noProof/>
            <w:webHidden/>
          </w:rPr>
          <w:tab/>
        </w:r>
        <w:r>
          <w:rPr>
            <w:noProof/>
            <w:webHidden/>
          </w:rPr>
          <w:fldChar w:fldCharType="begin"/>
        </w:r>
        <w:r>
          <w:rPr>
            <w:noProof/>
            <w:webHidden/>
          </w:rPr>
          <w:instrText xml:space="preserve"> PAGEREF _Toc208824198 \h </w:instrText>
        </w:r>
        <w:r>
          <w:rPr>
            <w:noProof/>
            <w:webHidden/>
          </w:rPr>
        </w:r>
        <w:r>
          <w:rPr>
            <w:noProof/>
            <w:webHidden/>
          </w:rPr>
          <w:fldChar w:fldCharType="separate"/>
        </w:r>
        <w:r>
          <w:rPr>
            <w:noProof/>
            <w:webHidden/>
          </w:rPr>
          <w:t>28</w:t>
        </w:r>
        <w:r>
          <w:rPr>
            <w:noProof/>
            <w:webHidden/>
          </w:rPr>
          <w:fldChar w:fldCharType="end"/>
        </w:r>
      </w:hyperlink>
    </w:p>
    <w:p w14:paraId="26300B12" w14:textId="62A5626F" w:rsidR="00ED672F" w:rsidRDefault="00ED672F">
      <w:pPr>
        <w:pStyle w:val="TOC1"/>
        <w:tabs>
          <w:tab w:val="right" w:leader="dot" w:pos="9350"/>
        </w:tabs>
        <w:rPr>
          <w:rFonts w:asciiTheme="minorHAnsi" w:eastAsiaTheme="minorEastAsia" w:hAnsiTheme="minorHAnsi"/>
          <w:noProof/>
          <w:sz w:val="24"/>
          <w:szCs w:val="24"/>
        </w:rPr>
      </w:pPr>
      <w:hyperlink w:anchor="_Toc208824199" w:history="1">
        <w:r w:rsidRPr="000A4DFB">
          <w:rPr>
            <w:rStyle w:val="Hyperlink"/>
            <w:noProof/>
            <w:lang w:val="en-GB"/>
          </w:rPr>
          <w:t>References</w:t>
        </w:r>
        <w:r>
          <w:rPr>
            <w:noProof/>
            <w:webHidden/>
          </w:rPr>
          <w:tab/>
        </w:r>
        <w:r>
          <w:rPr>
            <w:noProof/>
            <w:webHidden/>
          </w:rPr>
          <w:fldChar w:fldCharType="begin"/>
        </w:r>
        <w:r>
          <w:rPr>
            <w:noProof/>
            <w:webHidden/>
          </w:rPr>
          <w:instrText xml:space="preserve"> PAGEREF _Toc208824199 \h </w:instrText>
        </w:r>
        <w:r>
          <w:rPr>
            <w:noProof/>
            <w:webHidden/>
          </w:rPr>
        </w:r>
        <w:r>
          <w:rPr>
            <w:noProof/>
            <w:webHidden/>
          </w:rPr>
          <w:fldChar w:fldCharType="separate"/>
        </w:r>
        <w:r>
          <w:rPr>
            <w:noProof/>
            <w:webHidden/>
          </w:rPr>
          <w:t>30</w:t>
        </w:r>
        <w:r>
          <w:rPr>
            <w:noProof/>
            <w:webHidden/>
          </w:rPr>
          <w:fldChar w:fldCharType="end"/>
        </w:r>
      </w:hyperlink>
    </w:p>
    <w:p w14:paraId="28DF3945" w14:textId="1C258011" w:rsidR="00F775C4" w:rsidRPr="00516C1F" w:rsidRDefault="004948D8" w:rsidP="00F6758C">
      <w:pPr>
        <w:rPr>
          <w:rFonts w:cs="Calibri"/>
          <w:lang w:val="en-GB"/>
        </w:rPr>
      </w:pPr>
      <w:r w:rsidRPr="00516C1F">
        <w:rPr>
          <w:rFonts w:cs="Calibri"/>
          <w:lang w:val="en-GB"/>
        </w:rPr>
        <w:fldChar w:fldCharType="end"/>
      </w:r>
    </w:p>
    <w:p w14:paraId="046D7569" w14:textId="77777777" w:rsidR="00F775C4" w:rsidRPr="00516C1F" w:rsidRDefault="00F775C4" w:rsidP="00F6758C">
      <w:pPr>
        <w:rPr>
          <w:rFonts w:cs="Calibri"/>
          <w:lang w:val="en-GB"/>
        </w:rPr>
      </w:pPr>
    </w:p>
    <w:p w14:paraId="41B21085" w14:textId="77777777" w:rsidR="00F775C4" w:rsidRPr="00516C1F" w:rsidRDefault="00F775C4" w:rsidP="00F6758C">
      <w:pPr>
        <w:rPr>
          <w:rFonts w:cs="Calibri"/>
          <w:lang w:val="en-GB"/>
        </w:rPr>
      </w:pPr>
    </w:p>
    <w:p w14:paraId="52F29545" w14:textId="77777777" w:rsidR="00AE3669" w:rsidRPr="00516C1F" w:rsidRDefault="00AE3669" w:rsidP="00F6758C">
      <w:pPr>
        <w:rPr>
          <w:rFonts w:cs="Calibri"/>
          <w:lang w:val="en-GB"/>
        </w:rPr>
      </w:pPr>
    </w:p>
    <w:p w14:paraId="4DC00E69" w14:textId="77777777" w:rsidR="00F775C4" w:rsidRPr="00516C1F" w:rsidRDefault="00F775C4" w:rsidP="00F6758C">
      <w:pPr>
        <w:rPr>
          <w:rFonts w:cs="Calibri"/>
          <w:lang w:val="en-GB"/>
        </w:rPr>
      </w:pPr>
    </w:p>
    <w:p w14:paraId="77157586" w14:textId="77777777" w:rsidR="00981265" w:rsidRPr="00516C1F" w:rsidRDefault="00981265" w:rsidP="00F6758C">
      <w:pPr>
        <w:rPr>
          <w:rFonts w:cs="Calibri"/>
          <w:lang w:val="en-GB"/>
        </w:rPr>
      </w:pPr>
    </w:p>
    <w:p w14:paraId="7F87A650" w14:textId="77777777" w:rsidR="00981265" w:rsidRPr="00516C1F" w:rsidRDefault="00981265" w:rsidP="00F6758C">
      <w:pPr>
        <w:rPr>
          <w:rFonts w:cs="Calibri"/>
          <w:lang w:val="en-GB"/>
        </w:rPr>
      </w:pPr>
    </w:p>
    <w:p w14:paraId="49CB213F" w14:textId="77777777" w:rsidR="00981265" w:rsidRPr="00516C1F" w:rsidRDefault="00981265" w:rsidP="00F6758C">
      <w:pPr>
        <w:rPr>
          <w:rFonts w:cs="Calibri"/>
          <w:lang w:val="en-GB"/>
        </w:rPr>
      </w:pPr>
    </w:p>
    <w:p w14:paraId="47682422" w14:textId="77777777" w:rsidR="00981265" w:rsidRPr="00516C1F" w:rsidRDefault="00981265" w:rsidP="00F6758C">
      <w:pPr>
        <w:rPr>
          <w:rFonts w:cs="Calibri"/>
          <w:lang w:val="en-GB"/>
        </w:rPr>
      </w:pPr>
    </w:p>
    <w:p w14:paraId="78940E5E" w14:textId="77777777" w:rsidR="00981265" w:rsidRPr="00516C1F" w:rsidRDefault="00981265" w:rsidP="00F6758C">
      <w:pPr>
        <w:rPr>
          <w:rFonts w:cs="Calibri"/>
          <w:lang w:val="en-GB"/>
        </w:rPr>
      </w:pPr>
    </w:p>
    <w:p w14:paraId="55966EC5" w14:textId="0AEC4DE1" w:rsidR="0017713B" w:rsidRPr="00516C1F" w:rsidRDefault="0017713B" w:rsidP="00665F97">
      <w:pPr>
        <w:pStyle w:val="Heading1"/>
        <w:numPr>
          <w:ilvl w:val="0"/>
          <w:numId w:val="3"/>
        </w:numPr>
        <w:rPr>
          <w:lang w:val="en-GB"/>
        </w:rPr>
      </w:pPr>
      <w:bookmarkStart w:id="0" w:name="_Toc208824181"/>
      <w:r w:rsidRPr="00516C1F">
        <w:rPr>
          <w:lang w:val="en-GB"/>
        </w:rPr>
        <w:lastRenderedPageBreak/>
        <w:t>Introduction</w:t>
      </w:r>
      <w:bookmarkEnd w:id="0"/>
    </w:p>
    <w:p w14:paraId="07244ED1" w14:textId="5FE2BB4B" w:rsidR="0017713B" w:rsidRPr="00516C1F" w:rsidRDefault="0017713B" w:rsidP="0092023E">
      <w:pPr>
        <w:pStyle w:val="Heading2"/>
        <w:numPr>
          <w:ilvl w:val="1"/>
          <w:numId w:val="13"/>
        </w:numPr>
        <w:rPr>
          <w:lang w:val="en-GB"/>
        </w:rPr>
      </w:pPr>
      <w:bookmarkStart w:id="1" w:name="_Toc208824182"/>
      <w:r w:rsidRPr="00516C1F">
        <w:rPr>
          <w:lang w:val="en-GB"/>
        </w:rPr>
        <w:t>Background and Objectives of the Study</w:t>
      </w:r>
      <w:bookmarkEnd w:id="1"/>
    </w:p>
    <w:p w14:paraId="1F02B6AD" w14:textId="77777777" w:rsidR="00140406" w:rsidRPr="00516C1F" w:rsidRDefault="00140406" w:rsidP="003747E9">
      <w:pPr>
        <w:jc w:val="both"/>
        <w:rPr>
          <w:rFonts w:cs="Calibri"/>
          <w:lang w:val="en-GB"/>
        </w:rPr>
      </w:pPr>
      <w:r w:rsidRPr="00516C1F">
        <w:rPr>
          <w:rFonts w:cs="Calibri"/>
          <w:lang w:val="en-GB"/>
        </w:rPr>
        <w:t>The Danube Region offers significant opportunities for fostering research partnerships that can drive regional integration and economic growth. By leveraging the Smart Specialisation Strategies (S3) framework, countries in this region can focus on their unique assets to address shared challenges and promote sustainable innovation. This region, characterized by cultural diversity and economic variability, is a fertile ground for cross-border research efforts. Ongoing initiatives, including EU-supported funding programs and interregional projects, highlight the growing commitment to collaboration and resource sharing to achieve technological and scientific breakthroughs (European Commission, 2020; Foray, 2014).</w:t>
      </w:r>
    </w:p>
    <w:p w14:paraId="40F24EA4" w14:textId="0551775B" w:rsidR="00140406" w:rsidRPr="00516C1F" w:rsidRDefault="00140406" w:rsidP="003747E9">
      <w:pPr>
        <w:jc w:val="both"/>
        <w:rPr>
          <w:rFonts w:cs="Calibri"/>
          <w:lang w:val="en-GB"/>
        </w:rPr>
      </w:pPr>
      <w:r w:rsidRPr="00516C1F">
        <w:rPr>
          <w:rFonts w:cs="Calibri"/>
          <w:lang w:val="en-GB"/>
        </w:rPr>
        <w:t>Efforts to implement S3 are not limited to EU Member States</w:t>
      </w:r>
      <w:r w:rsidR="00AF166E" w:rsidRPr="00516C1F">
        <w:rPr>
          <w:rFonts w:cs="Calibri"/>
          <w:lang w:val="en-GB"/>
        </w:rPr>
        <w:t>.</w:t>
      </w:r>
      <w:r w:rsidRPr="00516C1F">
        <w:rPr>
          <w:rFonts w:cs="Calibri"/>
          <w:lang w:val="en-GB"/>
        </w:rPr>
        <w:t xml:space="preserve"> </w:t>
      </w:r>
      <w:r w:rsidR="00AF166E" w:rsidRPr="00516C1F">
        <w:rPr>
          <w:rFonts w:cs="Calibri"/>
          <w:lang w:val="en-GB"/>
        </w:rPr>
        <w:t>N</w:t>
      </w:r>
      <w:r w:rsidRPr="00516C1F">
        <w:rPr>
          <w:rFonts w:cs="Calibri"/>
          <w:lang w:val="en-GB"/>
        </w:rPr>
        <w:t xml:space="preserve">on-EU countries in the Danube Region have also embraced this approach with guidance from the European Commission’s Joint Research Centre. By aligning innovation strategies with the S3 framework, these countries aim to accelerate their transition to knowledge-driven economies and strengthen their integration into European research networks (Radovanovic </w:t>
      </w:r>
      <w:r w:rsidR="00CE2350" w:rsidRPr="00516C1F">
        <w:rPr>
          <w:rFonts w:cs="Calibri"/>
          <w:lang w:val="en-GB"/>
        </w:rPr>
        <w:t>&amp; Benner</w:t>
      </w:r>
      <w:r w:rsidRPr="00516C1F">
        <w:rPr>
          <w:rFonts w:cs="Calibri"/>
          <w:lang w:val="en-GB"/>
        </w:rPr>
        <w:t xml:space="preserve"> 20</w:t>
      </w:r>
      <w:r w:rsidR="00CE2350" w:rsidRPr="00516C1F">
        <w:rPr>
          <w:rFonts w:cs="Calibri"/>
          <w:lang w:val="en-GB"/>
        </w:rPr>
        <w:t>19</w:t>
      </w:r>
      <w:r w:rsidRPr="00516C1F">
        <w:rPr>
          <w:rFonts w:cs="Calibri"/>
          <w:lang w:val="en-GB"/>
        </w:rPr>
        <w:t>). This coordinated approach fosters targeted investment in high-impact areas while addressing structural challenges like productivity gaps and fragmented standards (Barca, 2009; McCann &amp; Ortega-</w:t>
      </w:r>
      <w:proofErr w:type="spellStart"/>
      <w:r w:rsidRPr="00516C1F">
        <w:rPr>
          <w:rFonts w:cs="Calibri"/>
          <w:lang w:val="en-GB"/>
        </w:rPr>
        <w:t>Argilés</w:t>
      </w:r>
      <w:proofErr w:type="spellEnd"/>
      <w:r w:rsidRPr="00516C1F">
        <w:rPr>
          <w:rFonts w:cs="Calibri"/>
          <w:lang w:val="en-GB"/>
        </w:rPr>
        <w:t>, 2013).</w:t>
      </w:r>
    </w:p>
    <w:p w14:paraId="2ABFC9A3" w14:textId="0B291AAA" w:rsidR="00140406" w:rsidRPr="00516C1F" w:rsidRDefault="00140406" w:rsidP="003747E9">
      <w:pPr>
        <w:jc w:val="both"/>
        <w:rPr>
          <w:rFonts w:cs="Calibri"/>
          <w:lang w:val="en-GB"/>
        </w:rPr>
      </w:pPr>
      <w:r w:rsidRPr="00516C1F">
        <w:rPr>
          <w:rFonts w:cs="Calibri"/>
          <w:lang w:val="en-GB"/>
        </w:rPr>
        <w:t>As a cornerstone of European innovation policy, S3 promotes bottom-up strategies that empower regions to identify their competitive advantages and prioritize their investments accordingly. For the Danube Region, this framework is especially valuable in addressing disparities between advanced and emerging economies</w:t>
      </w:r>
      <w:r w:rsidR="00547C39" w:rsidRPr="00516C1F">
        <w:rPr>
          <w:rFonts w:cs="Calibri"/>
          <w:lang w:val="en-GB"/>
        </w:rPr>
        <w:t>, as well as between EU and non-EU countries</w:t>
      </w:r>
      <w:r w:rsidRPr="00516C1F">
        <w:rPr>
          <w:rFonts w:cs="Calibri"/>
          <w:lang w:val="en-GB"/>
        </w:rPr>
        <w:t>. Collaborative innovation can bridge these divides, enabling the region to tackle socio-economic challenges such as brain drain and unequal access to funding.</w:t>
      </w:r>
    </w:p>
    <w:p w14:paraId="6BFDA53C" w14:textId="7C9F0D5D" w:rsidR="00CC623A" w:rsidRPr="00516C1F" w:rsidRDefault="00140406" w:rsidP="00295EBA">
      <w:pPr>
        <w:jc w:val="both"/>
        <w:rPr>
          <w:rFonts w:cs="Calibri"/>
          <w:lang w:val="en-GB"/>
        </w:rPr>
      </w:pPr>
      <w:r w:rsidRPr="00516C1F">
        <w:rPr>
          <w:rFonts w:cs="Calibri"/>
          <w:lang w:val="en-GB"/>
        </w:rPr>
        <w:t xml:space="preserve">Building on successful models from other regions, the Danube countries have the potential to amplify their strengths through coordinated actions and strategic partnerships. By aligning their efforts within the S3 framework, stakeholders can establish a cohesive ecosystem that supports sustainable development and contributes to broader European objectives. </w:t>
      </w:r>
      <w:r w:rsidR="009338A5" w:rsidRPr="00516C1F">
        <w:rPr>
          <w:rFonts w:cs="Calibri"/>
          <w:lang w:val="en-GB"/>
        </w:rPr>
        <w:t xml:space="preserve">This </w:t>
      </w:r>
      <w:r w:rsidR="00C36172">
        <w:rPr>
          <w:rFonts w:cs="Calibri"/>
          <w:lang w:val="en-GB"/>
        </w:rPr>
        <w:t>study</w:t>
      </w:r>
      <w:r w:rsidR="009338A5" w:rsidRPr="00516C1F">
        <w:rPr>
          <w:rFonts w:cs="Calibri"/>
          <w:lang w:val="en-GB"/>
        </w:rPr>
        <w:t>, based on an analysis of Horizon Europe projects from 2021 to 2024, explores the current state of research collaboration in the Danube Region, identifies key research domains, and provides actionable recommendations for fostering stronger interregional synergies. Specifically, it addresses the following key questions</w:t>
      </w:r>
      <w:r w:rsidR="00CC623A" w:rsidRPr="00516C1F">
        <w:rPr>
          <w:rFonts w:cs="Calibri"/>
          <w:lang w:val="en-GB"/>
        </w:rPr>
        <w:t>:</w:t>
      </w:r>
    </w:p>
    <w:p w14:paraId="7CB8E09C" w14:textId="77777777" w:rsidR="00CC623A" w:rsidRPr="00516C1F" w:rsidRDefault="00CC623A" w:rsidP="00665F97">
      <w:pPr>
        <w:pStyle w:val="ListParagraph"/>
        <w:numPr>
          <w:ilvl w:val="0"/>
          <w:numId w:val="4"/>
        </w:numPr>
        <w:jc w:val="both"/>
        <w:rPr>
          <w:rFonts w:cs="Calibri"/>
          <w:lang w:val="en-GB"/>
        </w:rPr>
      </w:pPr>
      <w:r w:rsidRPr="00516C1F">
        <w:rPr>
          <w:rFonts w:cs="Calibri"/>
          <w:b/>
          <w:bCs/>
          <w:lang w:val="en-GB"/>
        </w:rPr>
        <w:t xml:space="preserve">What are </w:t>
      </w:r>
      <w:bookmarkStart w:id="2" w:name="_Hlk189657880"/>
      <w:r w:rsidRPr="00516C1F">
        <w:rPr>
          <w:rFonts w:cs="Calibri"/>
          <w:b/>
          <w:bCs/>
          <w:lang w:val="en-GB"/>
        </w:rPr>
        <w:t xml:space="preserve">the most common priority research areas </w:t>
      </w:r>
      <w:bookmarkEnd w:id="2"/>
      <w:r w:rsidRPr="00516C1F">
        <w:rPr>
          <w:rFonts w:cs="Calibri"/>
          <w:b/>
          <w:bCs/>
          <w:lang w:val="en-GB"/>
        </w:rPr>
        <w:t>identified in the Smart Specialisation Strategies of Danube Region countries?</w:t>
      </w:r>
      <w:r w:rsidRPr="00516C1F">
        <w:rPr>
          <w:rFonts w:cs="Calibri"/>
          <w:lang w:val="en-GB"/>
        </w:rPr>
        <w:t xml:space="preserve"> By examining these areas, the study aims to highlight thematic strengths and identify opportunities for alignment across borders.</w:t>
      </w:r>
    </w:p>
    <w:p w14:paraId="5B8DBD93" w14:textId="77777777" w:rsidR="00CC623A" w:rsidRPr="00516C1F" w:rsidRDefault="00CC623A" w:rsidP="00665F97">
      <w:pPr>
        <w:pStyle w:val="ListParagraph"/>
        <w:numPr>
          <w:ilvl w:val="0"/>
          <w:numId w:val="4"/>
        </w:numPr>
        <w:jc w:val="both"/>
        <w:rPr>
          <w:rFonts w:cs="Calibri"/>
          <w:lang w:val="en-GB"/>
        </w:rPr>
      </w:pPr>
      <w:r w:rsidRPr="00516C1F">
        <w:rPr>
          <w:rFonts w:cs="Calibri"/>
          <w:b/>
          <w:bCs/>
          <w:lang w:val="en-GB"/>
        </w:rPr>
        <w:t>How are the research networks structured in the region, particularly in terms of connectivity, centrality, and collaboration patterns?</w:t>
      </w:r>
      <w:r w:rsidRPr="00516C1F">
        <w:rPr>
          <w:rFonts w:cs="Calibri"/>
          <w:lang w:val="en-GB"/>
        </w:rPr>
        <w:t xml:space="preserve"> Social network analysis is used to uncover the dynamics of these networks and to determine the role of key institutions.</w:t>
      </w:r>
    </w:p>
    <w:p w14:paraId="5EC5F881" w14:textId="17A887F4" w:rsidR="003566AE" w:rsidRPr="00516C1F" w:rsidRDefault="00CC623A" w:rsidP="00665F97">
      <w:pPr>
        <w:pStyle w:val="ListParagraph"/>
        <w:numPr>
          <w:ilvl w:val="0"/>
          <w:numId w:val="4"/>
        </w:numPr>
        <w:jc w:val="both"/>
        <w:rPr>
          <w:rFonts w:cs="Calibri"/>
          <w:lang w:val="en-GB"/>
        </w:rPr>
      </w:pPr>
      <w:r w:rsidRPr="00516C1F">
        <w:rPr>
          <w:rFonts w:cs="Calibri"/>
          <w:b/>
          <w:bCs/>
          <w:lang w:val="en-GB"/>
        </w:rPr>
        <w:t xml:space="preserve">What are the emerging subfields in </w:t>
      </w:r>
      <w:r w:rsidR="00295EBA" w:rsidRPr="00516C1F">
        <w:rPr>
          <w:rFonts w:cs="Calibri"/>
          <w:b/>
          <w:bCs/>
          <w:lang w:val="en-GB"/>
        </w:rPr>
        <w:t>the most common</w:t>
      </w:r>
      <w:r w:rsidR="00D264B0" w:rsidRPr="00516C1F">
        <w:rPr>
          <w:rFonts w:cs="Calibri"/>
          <w:b/>
          <w:bCs/>
          <w:lang w:val="en-GB"/>
        </w:rPr>
        <w:t xml:space="preserve"> S3</w:t>
      </w:r>
      <w:r w:rsidR="00295EBA" w:rsidRPr="00516C1F">
        <w:rPr>
          <w:rFonts w:cs="Calibri"/>
          <w:b/>
          <w:bCs/>
          <w:lang w:val="en-GB"/>
        </w:rPr>
        <w:t xml:space="preserve"> priority areas</w:t>
      </w:r>
      <w:r w:rsidRPr="00516C1F">
        <w:rPr>
          <w:rFonts w:cs="Calibri"/>
          <w:b/>
          <w:bCs/>
          <w:lang w:val="en-GB"/>
        </w:rPr>
        <w:t>?</w:t>
      </w:r>
      <w:r w:rsidRPr="00516C1F">
        <w:rPr>
          <w:rFonts w:cs="Calibri"/>
          <w:lang w:val="en-GB"/>
        </w:rPr>
        <w:t xml:space="preserve"> The study explores the specific </w:t>
      </w:r>
      <w:r w:rsidR="00B01AD0" w:rsidRPr="00516C1F">
        <w:rPr>
          <w:rFonts w:cs="Calibri"/>
          <w:lang w:val="en-GB"/>
        </w:rPr>
        <w:t>sub-</w:t>
      </w:r>
      <w:r w:rsidRPr="00516C1F">
        <w:rPr>
          <w:rFonts w:cs="Calibri"/>
          <w:lang w:val="en-GB"/>
        </w:rPr>
        <w:t>themes driving innovation in these domains.</w:t>
      </w:r>
    </w:p>
    <w:p w14:paraId="05771B8E" w14:textId="3CEBDF06" w:rsidR="003566AE" w:rsidRPr="00516C1F" w:rsidRDefault="00CC623A" w:rsidP="00665F97">
      <w:pPr>
        <w:pStyle w:val="ListParagraph"/>
        <w:numPr>
          <w:ilvl w:val="0"/>
          <w:numId w:val="4"/>
        </w:numPr>
        <w:jc w:val="both"/>
        <w:rPr>
          <w:rFonts w:cs="Calibri"/>
          <w:lang w:val="en-GB"/>
        </w:rPr>
      </w:pPr>
      <w:r w:rsidRPr="00516C1F">
        <w:rPr>
          <w:rFonts w:cs="Calibri"/>
          <w:b/>
          <w:bCs/>
          <w:lang w:val="en-GB"/>
        </w:rPr>
        <w:t>How can the region foster greater synergy and inclusivity in research collaboration?</w:t>
      </w:r>
      <w:r w:rsidRPr="00516C1F">
        <w:rPr>
          <w:rFonts w:cs="Calibri"/>
          <w:lang w:val="en-GB"/>
        </w:rPr>
        <w:t xml:space="preserve"> Based on the findings, the study offers actionable recommendations to address disparities and strengthen the collective research impact of the region.</w:t>
      </w:r>
    </w:p>
    <w:p w14:paraId="2472BB74" w14:textId="377453D6" w:rsidR="00732D5A" w:rsidRPr="00516C1F" w:rsidRDefault="00732D5A" w:rsidP="00665F97">
      <w:pPr>
        <w:pStyle w:val="Heading1"/>
        <w:numPr>
          <w:ilvl w:val="0"/>
          <w:numId w:val="3"/>
        </w:numPr>
        <w:rPr>
          <w:lang w:val="en-GB"/>
        </w:rPr>
      </w:pPr>
      <w:bookmarkStart w:id="3" w:name="_Toc208824183"/>
      <w:r w:rsidRPr="00516C1F">
        <w:rPr>
          <w:lang w:val="en-GB"/>
        </w:rPr>
        <w:lastRenderedPageBreak/>
        <w:t>Smart Specialisation Strategies in the Danube Region</w:t>
      </w:r>
      <w:bookmarkEnd w:id="3"/>
    </w:p>
    <w:p w14:paraId="59257AED" w14:textId="62B2AB36" w:rsidR="00732D5A" w:rsidRPr="00516C1F" w:rsidRDefault="0092023E" w:rsidP="003D70EC">
      <w:pPr>
        <w:pStyle w:val="Heading2"/>
        <w:rPr>
          <w:lang w:val="en-GB"/>
        </w:rPr>
      </w:pPr>
      <w:bookmarkStart w:id="4" w:name="_Toc208824184"/>
      <w:r w:rsidRPr="00516C1F">
        <w:rPr>
          <w:lang w:val="en-GB"/>
        </w:rPr>
        <w:t xml:space="preserve">2.1. </w:t>
      </w:r>
      <w:r w:rsidR="00732D5A" w:rsidRPr="00516C1F">
        <w:rPr>
          <w:lang w:val="en-GB"/>
        </w:rPr>
        <w:t>Overview of the Smart Specialisation Framework</w:t>
      </w:r>
      <w:bookmarkEnd w:id="4"/>
    </w:p>
    <w:p w14:paraId="6FC8809D" w14:textId="09AC861B" w:rsidR="00567478" w:rsidRPr="00516C1F" w:rsidRDefault="009338A5" w:rsidP="00567478">
      <w:pPr>
        <w:jc w:val="both"/>
        <w:rPr>
          <w:rFonts w:cs="Calibri"/>
          <w:lang w:val="en-GB"/>
        </w:rPr>
      </w:pPr>
      <w:r w:rsidRPr="00516C1F">
        <w:rPr>
          <w:rFonts w:cs="Calibri"/>
          <w:lang w:val="en-GB"/>
        </w:rPr>
        <w:t>Smart Specialisation Strategies were</w:t>
      </w:r>
      <w:r w:rsidR="00567478" w:rsidRPr="00516C1F">
        <w:rPr>
          <w:rFonts w:cs="Calibri"/>
          <w:lang w:val="en-GB"/>
        </w:rPr>
        <w:t xml:space="preserve"> introduced by the European Union as a transformative framework to enhance regional innovation and foster economic growth by focusing on areas of comparative advantage. </w:t>
      </w:r>
      <w:r w:rsidRPr="00516C1F">
        <w:rPr>
          <w:rFonts w:cs="Calibri"/>
          <w:lang w:val="en-GB"/>
        </w:rPr>
        <w:t xml:space="preserve">This policy concept </w:t>
      </w:r>
      <w:r w:rsidR="00567478" w:rsidRPr="00516C1F">
        <w:rPr>
          <w:rFonts w:cs="Calibri"/>
          <w:lang w:val="en-GB"/>
        </w:rPr>
        <w:t>encourages regions to identify and invest in sectors with high innovation potential, leveraging their unique strengths and resources. It employs a bottom-up approach, emphasizing active stakeholder engagement and evidence-based decision-making to align investments with regional priorities (</w:t>
      </w:r>
      <w:r w:rsidR="0021140E" w:rsidRPr="00516C1F">
        <w:rPr>
          <w:rFonts w:cs="Calibri"/>
          <w:lang w:val="en-GB"/>
        </w:rPr>
        <w:t xml:space="preserve">Foray et al., 2009; </w:t>
      </w:r>
      <w:r w:rsidR="00567478" w:rsidRPr="00516C1F">
        <w:rPr>
          <w:rFonts w:cs="Calibri"/>
          <w:lang w:val="en-GB"/>
        </w:rPr>
        <w:t xml:space="preserve">Foray, 2014; European Commission, 2012). </w:t>
      </w:r>
    </w:p>
    <w:p w14:paraId="0A7CA23A" w14:textId="0F131199" w:rsidR="00E61AAF" w:rsidRPr="00516C1F" w:rsidRDefault="00567478" w:rsidP="00E61AAF">
      <w:pPr>
        <w:jc w:val="both"/>
        <w:rPr>
          <w:rFonts w:cs="Calibri"/>
          <w:lang w:val="en-GB"/>
        </w:rPr>
      </w:pPr>
      <w:r w:rsidRPr="00516C1F">
        <w:rPr>
          <w:rFonts w:cs="Calibri"/>
          <w:lang w:val="en-GB"/>
        </w:rPr>
        <w:t>The S3 framework prioritizes innovation by enabling regions to define their unique strengths, address societal challenges, and align efforts with market demands. This approach is particularly relevant for tackling critical global issues such as digital transformation, climate change, and demographic shifts. By fostering collaboration among public, private, and academic sectors, S3 creates a dynamic environment that drives impactful innovation outcomes (McCann &amp; Ortega-</w:t>
      </w:r>
      <w:proofErr w:type="spellStart"/>
      <w:r w:rsidRPr="00516C1F">
        <w:rPr>
          <w:rFonts w:cs="Calibri"/>
          <w:lang w:val="en-GB"/>
        </w:rPr>
        <w:t>Argilés</w:t>
      </w:r>
      <w:proofErr w:type="spellEnd"/>
      <w:r w:rsidRPr="00516C1F">
        <w:rPr>
          <w:rFonts w:cs="Calibri"/>
          <w:lang w:val="en-GB"/>
        </w:rPr>
        <w:t>, 2013).</w:t>
      </w:r>
    </w:p>
    <w:p w14:paraId="5C4BC603" w14:textId="77777777" w:rsidR="00E61AAF" w:rsidRPr="00516C1F" w:rsidRDefault="00E61AAF" w:rsidP="00E61AAF">
      <w:pPr>
        <w:jc w:val="both"/>
        <w:rPr>
          <w:rFonts w:cs="Calibri"/>
          <w:lang w:val="en-GB"/>
        </w:rPr>
      </w:pPr>
    </w:p>
    <w:p w14:paraId="0DE9CCCA" w14:textId="450FA954" w:rsidR="00732D5A" w:rsidRPr="00516C1F" w:rsidRDefault="0092023E" w:rsidP="003D70EC">
      <w:pPr>
        <w:pStyle w:val="Heading2"/>
        <w:rPr>
          <w:lang w:val="en-GB"/>
        </w:rPr>
      </w:pPr>
      <w:bookmarkStart w:id="5" w:name="_Toc208824185"/>
      <w:r w:rsidRPr="00516C1F">
        <w:rPr>
          <w:lang w:val="en-GB"/>
        </w:rPr>
        <w:t xml:space="preserve">2.2. </w:t>
      </w:r>
      <w:r w:rsidR="00732D5A" w:rsidRPr="00516C1F">
        <w:rPr>
          <w:lang w:val="en-GB"/>
        </w:rPr>
        <w:t>Relevance of S3 to the Danube Region</w:t>
      </w:r>
      <w:bookmarkEnd w:id="5"/>
    </w:p>
    <w:p w14:paraId="1FE45290" w14:textId="188D40CC" w:rsidR="0002131D" w:rsidRPr="00516C1F" w:rsidRDefault="0002131D" w:rsidP="004F4EAB">
      <w:pPr>
        <w:jc w:val="both"/>
        <w:rPr>
          <w:rFonts w:cs="Calibri"/>
          <w:lang w:val="en-GB"/>
        </w:rPr>
      </w:pPr>
      <w:r w:rsidRPr="00516C1F">
        <w:rPr>
          <w:rFonts w:cs="Calibri"/>
          <w:lang w:val="en-GB"/>
        </w:rPr>
        <w:t>The Danube Region, with its blend of advanced economies and emerging markets, represents a unique setting for implementing the S3 framework. Its cultural diversity, economic disparities, and varying levels of industrial and research capacities necessitate tailored policy approaches that bridge gaps and leverage shared opportunities. The S3 framework provides a structured methodology for addressing these complexities by aligning national and regional innovation systems, fostering cross-border collaboration, and enhancing research and development capacities across the region (European Commission, 2020).</w:t>
      </w:r>
      <w:r w:rsidR="003F6FEE" w:rsidRPr="00516C1F">
        <w:rPr>
          <w:rFonts w:cs="Calibri"/>
          <w:lang w:val="en-GB"/>
        </w:rPr>
        <w:t xml:space="preserve"> Moreover, S3 plays a crucial role in supporting EU policy alignment, ensuring that innovation strategies in the Danube Region are in line with broader European objectives, such as the European Green Deal and Digital Strategy.</w:t>
      </w:r>
    </w:p>
    <w:p w14:paraId="5658E169" w14:textId="248A8574" w:rsidR="0002131D" w:rsidRPr="00516C1F" w:rsidRDefault="0002131D" w:rsidP="00973333">
      <w:pPr>
        <w:jc w:val="both"/>
        <w:rPr>
          <w:rFonts w:cs="Calibri"/>
          <w:lang w:val="en-GB"/>
        </w:rPr>
      </w:pPr>
      <w:r w:rsidRPr="00516C1F">
        <w:rPr>
          <w:rFonts w:cs="Calibri"/>
          <w:lang w:val="en-GB"/>
        </w:rPr>
        <w:t>One of the key strengths of S3 is its flexibility in accommodating the diverse socio-economic landscape. By identifying regional strengths and niche areas of excellence, S3 enables countries to concentrate on sectors where they can achieve competitive advantages. The framework encourages bottom-up governance, where regional stakeholders</w:t>
      </w:r>
      <w:r w:rsidR="008306C8" w:rsidRPr="00516C1F">
        <w:rPr>
          <w:rFonts w:cs="Calibri"/>
          <w:lang w:val="en-GB"/>
        </w:rPr>
        <w:t xml:space="preserve"> (</w:t>
      </w:r>
      <w:r w:rsidRPr="00516C1F">
        <w:rPr>
          <w:rFonts w:cs="Calibri"/>
          <w:lang w:val="en-GB"/>
        </w:rPr>
        <w:t>universities, research institutions, businesses, and policymakers</w:t>
      </w:r>
      <w:r w:rsidR="008306C8" w:rsidRPr="00516C1F">
        <w:rPr>
          <w:rFonts w:cs="Calibri"/>
          <w:lang w:val="en-GB"/>
        </w:rPr>
        <w:t>)</w:t>
      </w:r>
      <w:r w:rsidR="003A4F38" w:rsidRPr="00516C1F">
        <w:rPr>
          <w:rFonts w:cs="Calibri"/>
          <w:lang w:val="en-GB"/>
        </w:rPr>
        <w:t xml:space="preserve"> </w:t>
      </w:r>
      <w:r w:rsidRPr="00516C1F">
        <w:rPr>
          <w:rFonts w:cs="Calibri"/>
          <w:lang w:val="en-GB"/>
        </w:rPr>
        <w:t>collaborate in shaping research and innovation priorities that reflect both local needs and global trends.</w:t>
      </w:r>
      <w:r w:rsidR="00973333" w:rsidRPr="00516C1F">
        <w:rPr>
          <w:rFonts w:cs="Calibri"/>
          <w:lang w:val="en-GB"/>
        </w:rPr>
        <w:t xml:space="preserve"> </w:t>
      </w:r>
      <w:r w:rsidRPr="00516C1F">
        <w:rPr>
          <w:rFonts w:cs="Calibri"/>
          <w:lang w:val="en-GB"/>
        </w:rPr>
        <w:t xml:space="preserve">By fostering structured cross-border partnerships, aligning research priorities, and creating interconnected research networks, S3 strengthens the European Research Area (ERA). </w:t>
      </w:r>
      <w:r w:rsidR="003F6FEE" w:rsidRPr="00516C1F">
        <w:rPr>
          <w:rFonts w:cs="Calibri"/>
          <w:lang w:val="en-GB"/>
        </w:rPr>
        <w:t>Additionally, for non-EU countries in the region, S3 serves as an important instrument in the EU accession process, helping them align their research and innovation policies with EU standards, thus facilitating smoother integration into European funding program</w:t>
      </w:r>
      <w:r w:rsidR="00C11405" w:rsidRPr="00516C1F">
        <w:rPr>
          <w:rFonts w:cs="Calibri"/>
          <w:lang w:val="en-GB"/>
        </w:rPr>
        <w:t>me</w:t>
      </w:r>
      <w:r w:rsidR="003F6FEE" w:rsidRPr="00516C1F">
        <w:rPr>
          <w:rFonts w:cs="Calibri"/>
          <w:lang w:val="en-GB"/>
        </w:rPr>
        <w:t>s and collaborative initiatives.</w:t>
      </w:r>
    </w:p>
    <w:p w14:paraId="3576CAE0" w14:textId="3011EBFB" w:rsidR="00567478" w:rsidRPr="00516C1F" w:rsidRDefault="003F6FEE" w:rsidP="000B4AA1">
      <w:pPr>
        <w:jc w:val="both"/>
        <w:rPr>
          <w:rFonts w:cs="Calibri"/>
          <w:lang w:val="en-GB"/>
        </w:rPr>
      </w:pPr>
      <w:r w:rsidRPr="00516C1F">
        <w:rPr>
          <w:rFonts w:cs="Calibri"/>
          <w:lang w:val="en-GB"/>
        </w:rPr>
        <w:t xml:space="preserve">As a result, countries in the Danube Region benefit from joint initiatives, shared research infrastructures, and collaborative funding opportunities, reducing fragmentation in national innovation ecosystems. Furthermore, S3 is instrumental in promoting the green and digital transition by encouraging investments in sustainable technologies, digital transformation, and climate-friendly innovations. By integrating sustainability and digitalization into regional innovation strategies, the </w:t>
      </w:r>
      <w:r w:rsidR="00D853B0" w:rsidRPr="00516C1F">
        <w:rPr>
          <w:rFonts w:cs="Calibri"/>
          <w:lang w:val="en-GB"/>
        </w:rPr>
        <w:t>S3</w:t>
      </w:r>
      <w:r w:rsidRPr="00516C1F">
        <w:rPr>
          <w:rFonts w:cs="Calibri"/>
          <w:lang w:val="en-GB"/>
        </w:rPr>
        <w:t xml:space="preserve"> helps accelerate the transition toward a more resilient and future-oriented economy.</w:t>
      </w:r>
    </w:p>
    <w:p w14:paraId="476226A3" w14:textId="08BBC663" w:rsidR="00D73C78" w:rsidRPr="00516C1F" w:rsidRDefault="0092023E" w:rsidP="003D70EC">
      <w:pPr>
        <w:pStyle w:val="Heading2"/>
        <w:rPr>
          <w:lang w:val="en-GB"/>
        </w:rPr>
      </w:pPr>
      <w:bookmarkStart w:id="6" w:name="_Toc208824186"/>
      <w:r w:rsidRPr="00516C1F">
        <w:rPr>
          <w:lang w:val="en-GB"/>
        </w:rPr>
        <w:lastRenderedPageBreak/>
        <w:t xml:space="preserve">2.3. </w:t>
      </w:r>
      <w:r w:rsidR="00D73C78" w:rsidRPr="00516C1F">
        <w:rPr>
          <w:lang w:val="en-GB"/>
        </w:rPr>
        <w:t>The Importance of Research Cooperation</w:t>
      </w:r>
      <w:bookmarkEnd w:id="6"/>
    </w:p>
    <w:p w14:paraId="43487559" w14:textId="127D20E0" w:rsidR="00AD7BEF" w:rsidRPr="00516C1F" w:rsidRDefault="00AD7BEF" w:rsidP="00AD7BEF">
      <w:pPr>
        <w:jc w:val="both"/>
        <w:rPr>
          <w:rFonts w:cs="Calibri"/>
          <w:lang w:val="en-GB"/>
        </w:rPr>
      </w:pPr>
      <w:r w:rsidRPr="00516C1F">
        <w:rPr>
          <w:rFonts w:cs="Calibri"/>
          <w:lang w:val="en-GB"/>
        </w:rPr>
        <w:t>Research cooperation is the foundation of scientific and technological advancement, facilitating the sharing of knowledge, expertise, and resources among diverse stakeholders. Collaborative research accelerates innovation, strengthens global competitiveness, and enables regions to address complex challenges that transcend national borders, such as climate change and public health crises (OECD, 2018). The benefits of research cooperation extend beyond individual projects. Collaborative efforts enhance institutional capacity, foster long-term innovation, and promote the development of research infrastructure. Research networks also facilitate knowledge exchange, leading to broader societal impacts and fostering a culture of innovation (Katz &amp; Martin, 1997).</w:t>
      </w:r>
      <w:r w:rsidR="00D7568A" w:rsidRPr="00516C1F">
        <w:rPr>
          <w:rFonts w:cs="Calibri"/>
          <w:lang w:val="en-GB"/>
        </w:rPr>
        <w:t xml:space="preserve"> Engaging in international research collaboration yields outcomes that exceed those of isolated local teams, underscoring the significance of cross-border research efforts (</w:t>
      </w:r>
      <w:proofErr w:type="spellStart"/>
      <w:r w:rsidR="00D7568A" w:rsidRPr="00516C1F">
        <w:rPr>
          <w:rFonts w:cs="Calibri"/>
          <w:lang w:val="en-GB"/>
        </w:rPr>
        <w:t>Auanassova</w:t>
      </w:r>
      <w:proofErr w:type="spellEnd"/>
      <w:r w:rsidR="00D7568A" w:rsidRPr="00516C1F">
        <w:rPr>
          <w:rFonts w:cs="Calibri"/>
          <w:lang w:val="en-GB"/>
        </w:rPr>
        <w:t>, 2023). By combining expertise and resources, nations can enhance their scientific contributions and enrich the global knowledge landscape.</w:t>
      </w:r>
    </w:p>
    <w:p w14:paraId="1BAE21EB" w14:textId="1293AC60" w:rsidR="00AD7BEF" w:rsidRPr="00516C1F" w:rsidRDefault="00AD7BEF" w:rsidP="00AD7BEF">
      <w:pPr>
        <w:jc w:val="both"/>
        <w:rPr>
          <w:rFonts w:cs="Calibri"/>
          <w:lang w:val="en-GB"/>
        </w:rPr>
      </w:pPr>
      <w:r w:rsidRPr="00516C1F">
        <w:rPr>
          <w:rFonts w:cs="Calibri"/>
          <w:lang w:val="en-GB"/>
        </w:rPr>
        <w:t>In the Danube Region, research cooperation plays a vital role in addressing regional disparities and fostering integration. Shared challenges, such as fragmented innovation systems and brain drain, require collaborative solutions that pool resources and expertise. By strengthening research networks, countries in the region can build robust innovation ecosystems and enhance their global competitiveness. Programs such as Horizon Europe</w:t>
      </w:r>
      <w:r w:rsidR="009B4AB2" w:rsidRPr="00516C1F">
        <w:rPr>
          <w:rFonts w:cs="Calibri"/>
          <w:lang w:val="en-GB"/>
        </w:rPr>
        <w:t>,</w:t>
      </w:r>
      <w:r w:rsidRPr="00516C1F">
        <w:rPr>
          <w:rFonts w:cs="Calibri"/>
          <w:lang w:val="en-GB"/>
        </w:rPr>
        <w:t xml:space="preserve"> </w:t>
      </w:r>
      <w:r w:rsidR="0062026C" w:rsidRPr="00516C1F">
        <w:rPr>
          <w:rFonts w:cs="Calibri"/>
          <w:lang w:val="en-GB"/>
        </w:rPr>
        <w:t>the Interreg Danube Region Programme</w:t>
      </w:r>
      <w:r w:rsidR="009B4AB2" w:rsidRPr="00516C1F">
        <w:rPr>
          <w:rFonts w:cs="Calibri"/>
          <w:lang w:val="en-GB"/>
        </w:rPr>
        <w:t xml:space="preserve">, </w:t>
      </w:r>
      <w:r w:rsidRPr="00516C1F">
        <w:rPr>
          <w:rFonts w:cs="Calibri"/>
          <w:lang w:val="en-GB"/>
        </w:rPr>
        <w:t xml:space="preserve">and </w:t>
      </w:r>
      <w:r w:rsidR="009B4AB2" w:rsidRPr="00516C1F">
        <w:rPr>
          <w:rFonts w:cs="Calibri"/>
          <w:lang w:val="en-GB"/>
        </w:rPr>
        <w:t xml:space="preserve">other </w:t>
      </w:r>
      <w:r w:rsidRPr="00516C1F">
        <w:rPr>
          <w:rFonts w:cs="Calibri"/>
          <w:lang w:val="en-GB"/>
        </w:rPr>
        <w:t xml:space="preserve">initiatives supported by the European Commission demonstrate the transformative potential of research cooperation. </w:t>
      </w:r>
    </w:p>
    <w:p w14:paraId="5E6BA763" w14:textId="33E2C2B9" w:rsidR="007A2765" w:rsidRPr="00516C1F" w:rsidRDefault="00AD7BEF" w:rsidP="004F4816">
      <w:pPr>
        <w:jc w:val="both"/>
        <w:rPr>
          <w:rFonts w:cs="Calibri"/>
          <w:lang w:val="en-GB"/>
        </w:rPr>
      </w:pPr>
      <w:r w:rsidRPr="00516C1F">
        <w:rPr>
          <w:rFonts w:cs="Calibri"/>
          <w:lang w:val="en-GB"/>
        </w:rPr>
        <w:t>The Danube Region’s diverse economic and cultural landscape presents unique opportunities for fostering partnerships. Research cooperation not only enhances competitiveness but also builds trust and strengthens relationships among participating countries. As networks expand, they contribute to the region’s capacity to address shared challenges, such as climate adaptation, digital transformation, and energy transition.</w:t>
      </w:r>
      <w:r w:rsidR="00F51F50" w:rsidRPr="00516C1F">
        <w:rPr>
          <w:rFonts w:cs="Calibri"/>
          <w:lang w:val="en-GB"/>
        </w:rPr>
        <w:t xml:space="preserve"> </w:t>
      </w:r>
      <w:r w:rsidRPr="00516C1F">
        <w:rPr>
          <w:rFonts w:cs="Calibri"/>
          <w:lang w:val="en-GB"/>
        </w:rPr>
        <w:t>The successful implementation of S3 in the Danube Region depends heavily on robust research cooperation. By fostering collaboration, S3 helps regions identify their strengths, align investments with regional capabilities, and prioritize high-impact research areas. Research cooperation also ensures that innovation efforts are inclusive, bridging gaps between advanced and emerging economies and promoting equitable development. For example, collaborative research in ICT has demonstrated how shared resources and expertise can drive advancements in artificial intelligence and digital transformation. These synergies exemplify how research cooperation strengthens the effectiveness of S3, enabling the Danube Region to contribute to broader European and global innovation goals.</w:t>
      </w:r>
      <w:r w:rsidR="004F4816" w:rsidRPr="00516C1F">
        <w:rPr>
          <w:rFonts w:cs="Calibri"/>
          <w:lang w:val="en-GB"/>
        </w:rPr>
        <w:t xml:space="preserve">  Evidence from the Western Balkans underscores the role of research cooperation in ICT and digitalisation (Fab</w:t>
      </w:r>
      <w:r w:rsidR="00A92DDA" w:rsidRPr="00516C1F">
        <w:rPr>
          <w:rFonts w:cs="Calibri"/>
          <w:lang w:val="en-GB"/>
        </w:rPr>
        <w:t>b</w:t>
      </w:r>
      <w:r w:rsidR="004F4816" w:rsidRPr="00516C1F">
        <w:rPr>
          <w:rFonts w:cs="Calibri"/>
          <w:lang w:val="en-GB"/>
        </w:rPr>
        <w:t xml:space="preserve">ri et al., 2025). The </w:t>
      </w:r>
      <w:r w:rsidR="00C36172">
        <w:rPr>
          <w:rFonts w:cs="Calibri"/>
          <w:lang w:val="en-GB"/>
        </w:rPr>
        <w:t>study</w:t>
      </w:r>
      <w:r w:rsidR="004F4816" w:rsidRPr="00516C1F">
        <w:rPr>
          <w:rFonts w:cs="Calibri"/>
          <w:lang w:val="en-GB"/>
        </w:rPr>
        <w:t xml:space="preserve"> also highlights that digitalisation and sustainability efforts are increasingly being driven by cross-border collaborations. However, financial constraints and limited awareness remain key barriers to expanding cooperation​. These insights reinforce the need for strategic investments in research networks and public-private partnerships to accelerate the digital and green transformation.</w:t>
      </w:r>
    </w:p>
    <w:p w14:paraId="2FFA3E56" w14:textId="0E7D0DBA" w:rsidR="00AD7BEF" w:rsidRPr="00516C1F" w:rsidRDefault="00CB1436" w:rsidP="007B53D5">
      <w:pPr>
        <w:jc w:val="both"/>
        <w:rPr>
          <w:rFonts w:cs="Calibri"/>
          <w:lang w:val="en-GB"/>
        </w:rPr>
      </w:pPr>
      <w:r w:rsidRPr="00516C1F">
        <w:rPr>
          <w:rFonts w:cs="Calibri"/>
          <w:lang w:val="en-GB"/>
        </w:rPr>
        <w:t xml:space="preserve">Empirical evidence </w:t>
      </w:r>
      <w:r w:rsidR="00C5591F" w:rsidRPr="00516C1F">
        <w:rPr>
          <w:rFonts w:cs="Calibri"/>
          <w:lang w:val="en-GB"/>
        </w:rPr>
        <w:t xml:space="preserve">also </w:t>
      </w:r>
      <w:r w:rsidRPr="00516C1F">
        <w:rPr>
          <w:rFonts w:cs="Calibri"/>
          <w:lang w:val="en-GB"/>
        </w:rPr>
        <w:t xml:space="preserve">suggests that the implementation of S3 fosters transnational research collaborations, particularly among regions that exhibit complementary strengths, thereby stimulating both innovation and economic growth (Radosevic, 2018; Woolford et al., 2021). By engaging in joint research and development activities, countries can work together to tackle regional challenges such as environmental sustainability, public health concerns, and economic inequalities, ensuring that solutions are both targeted and contextually relevant. Furthermore, regional cooperation strengthens educational and research networks, enhancing local capacities and workforce development while simultaneously </w:t>
      </w:r>
      <w:r w:rsidRPr="00516C1F">
        <w:rPr>
          <w:rFonts w:cs="Calibri"/>
          <w:lang w:val="en-GB"/>
        </w:rPr>
        <w:lastRenderedPageBreak/>
        <w:t>facilitating the exchange of knowledge, best practices, and innovative technologies that are adapted to specific regional needs.</w:t>
      </w:r>
    </w:p>
    <w:p w14:paraId="22125F38" w14:textId="77777777" w:rsidR="001B2DC1" w:rsidRPr="00516C1F" w:rsidRDefault="001B2DC1" w:rsidP="003C6775">
      <w:pPr>
        <w:jc w:val="both"/>
        <w:rPr>
          <w:rFonts w:cs="Calibri"/>
          <w:lang w:val="en-GB"/>
        </w:rPr>
      </w:pPr>
    </w:p>
    <w:p w14:paraId="27CF2EBB" w14:textId="79025FF9" w:rsidR="00FA75E4" w:rsidRPr="00516C1F" w:rsidRDefault="00FA75E4" w:rsidP="00665F97">
      <w:pPr>
        <w:pStyle w:val="Heading1"/>
        <w:numPr>
          <w:ilvl w:val="0"/>
          <w:numId w:val="3"/>
        </w:numPr>
        <w:rPr>
          <w:lang w:val="en-GB"/>
        </w:rPr>
      </w:pPr>
      <w:bookmarkStart w:id="7" w:name="_Toc208824187"/>
      <w:r w:rsidRPr="00516C1F">
        <w:rPr>
          <w:lang w:val="en-GB"/>
        </w:rPr>
        <w:t>Identification of Key Research Domains in the Danube Region Based on S3 Priority Areas</w:t>
      </w:r>
      <w:bookmarkEnd w:id="7"/>
    </w:p>
    <w:p w14:paraId="52407DCB" w14:textId="526E990C" w:rsidR="00FA75E4" w:rsidRPr="00516C1F" w:rsidRDefault="0092023E" w:rsidP="003D70EC">
      <w:pPr>
        <w:pStyle w:val="Heading2"/>
        <w:rPr>
          <w:lang w:val="en-GB"/>
        </w:rPr>
      </w:pPr>
      <w:bookmarkStart w:id="8" w:name="_Toc208824188"/>
      <w:r w:rsidRPr="00516C1F">
        <w:rPr>
          <w:lang w:val="en-GB"/>
        </w:rPr>
        <w:t xml:space="preserve">3.1. </w:t>
      </w:r>
      <w:r w:rsidR="00DC4B38">
        <w:rPr>
          <w:lang w:val="en-GB"/>
        </w:rPr>
        <w:t>The m</w:t>
      </w:r>
      <w:r w:rsidR="00215F68" w:rsidRPr="00516C1F">
        <w:rPr>
          <w:lang w:val="en-GB"/>
        </w:rPr>
        <w:t xml:space="preserve">ost common </w:t>
      </w:r>
      <w:r w:rsidR="00DA580E" w:rsidRPr="00516C1F">
        <w:rPr>
          <w:lang w:val="en-GB"/>
        </w:rPr>
        <w:t xml:space="preserve">S3 </w:t>
      </w:r>
      <w:r w:rsidR="00215F68" w:rsidRPr="00516C1F">
        <w:rPr>
          <w:lang w:val="en-GB"/>
        </w:rPr>
        <w:t xml:space="preserve">priority areas in the Danube </w:t>
      </w:r>
      <w:r w:rsidR="00DC4B38">
        <w:rPr>
          <w:lang w:val="en-GB"/>
        </w:rPr>
        <w:t>r</w:t>
      </w:r>
      <w:r w:rsidR="00215F68" w:rsidRPr="00516C1F">
        <w:rPr>
          <w:lang w:val="en-GB"/>
        </w:rPr>
        <w:t>egion</w:t>
      </w:r>
      <w:bookmarkEnd w:id="8"/>
    </w:p>
    <w:p w14:paraId="1ABD768A" w14:textId="24E16657" w:rsidR="005F3296" w:rsidRPr="00516C1F" w:rsidRDefault="00644EDA" w:rsidP="005F3296">
      <w:pPr>
        <w:jc w:val="both"/>
        <w:rPr>
          <w:rFonts w:cs="Calibri"/>
          <w:lang w:val="en-GB"/>
        </w:rPr>
      </w:pPr>
      <w:r w:rsidRPr="00516C1F">
        <w:rPr>
          <w:rFonts w:cs="Calibri"/>
          <w:lang w:val="en-GB"/>
        </w:rPr>
        <w:t>To identify common research priorities across the Danube region, a systematic and structured approach was applied (Figure 1). This methodology ensured that the analysis captures the diverse innovation ecosystems of the region and reflects their specific strengths and opportunities:</w:t>
      </w:r>
    </w:p>
    <w:p w14:paraId="3BF0ACA5" w14:textId="2CD3405C" w:rsidR="005F3296" w:rsidRPr="00516C1F" w:rsidRDefault="00644EDA" w:rsidP="00665F97">
      <w:pPr>
        <w:pStyle w:val="ListParagraph"/>
        <w:numPr>
          <w:ilvl w:val="0"/>
          <w:numId w:val="2"/>
        </w:numPr>
        <w:jc w:val="both"/>
        <w:rPr>
          <w:rFonts w:cs="Calibri"/>
          <w:lang w:val="en-GB"/>
        </w:rPr>
      </w:pPr>
      <w:r w:rsidRPr="00516C1F">
        <w:rPr>
          <w:rFonts w:cs="Calibri"/>
          <w:b/>
          <w:bCs/>
          <w:lang w:val="en-GB"/>
        </w:rPr>
        <w:t>Compilation of research priorities:</w:t>
      </w:r>
      <w:r w:rsidRPr="00516C1F">
        <w:rPr>
          <w:rFonts w:cs="Calibri"/>
          <w:lang w:val="en-GB"/>
        </w:rPr>
        <w:t xml:space="preserve"> Each country’s S3 strategies were reviewed to compile a comprehensive list of priority research areas. These strategies reflect national and regional objectives and provide a detailed overview of the priority areas for innovation and development.</w:t>
      </w:r>
    </w:p>
    <w:p w14:paraId="1E10BF46" w14:textId="5F6496B7" w:rsidR="005F3296" w:rsidRPr="00516C1F" w:rsidRDefault="00644EDA" w:rsidP="00665F97">
      <w:pPr>
        <w:pStyle w:val="ListParagraph"/>
        <w:numPr>
          <w:ilvl w:val="0"/>
          <w:numId w:val="2"/>
        </w:numPr>
        <w:jc w:val="both"/>
        <w:rPr>
          <w:rFonts w:cs="Calibri"/>
          <w:lang w:val="en-GB"/>
        </w:rPr>
      </w:pPr>
      <w:r w:rsidRPr="00516C1F">
        <w:rPr>
          <w:rFonts w:cs="Calibri"/>
          <w:b/>
          <w:bCs/>
          <w:lang w:val="en-GB"/>
        </w:rPr>
        <w:t xml:space="preserve">Frequency analysis: </w:t>
      </w:r>
      <w:r w:rsidRPr="00516C1F">
        <w:rPr>
          <w:rFonts w:cs="Calibri"/>
          <w:lang w:val="en-GB"/>
        </w:rPr>
        <w:t>The frequency of each priority area was analysed across the Danube region to assess its importance and relevance. This step highlighted recurring themes and provided insight into areas where cooperation could have the greatest impact.</w:t>
      </w:r>
    </w:p>
    <w:p w14:paraId="04FCD0C9" w14:textId="2F47F577" w:rsidR="005F3296" w:rsidRPr="00516C1F" w:rsidRDefault="00644EDA" w:rsidP="00665F97">
      <w:pPr>
        <w:pStyle w:val="ListParagraph"/>
        <w:numPr>
          <w:ilvl w:val="0"/>
          <w:numId w:val="2"/>
        </w:numPr>
        <w:jc w:val="both"/>
        <w:rPr>
          <w:rFonts w:cs="Calibri"/>
          <w:lang w:val="en-GB"/>
        </w:rPr>
      </w:pPr>
      <w:r w:rsidRPr="00516C1F">
        <w:rPr>
          <w:rFonts w:cs="Calibri"/>
          <w:b/>
          <w:bCs/>
          <w:lang w:val="en-GB"/>
        </w:rPr>
        <w:t xml:space="preserve">Clustering of similar priorities: </w:t>
      </w:r>
      <w:r w:rsidRPr="00516C1F">
        <w:rPr>
          <w:rFonts w:cs="Calibri"/>
          <w:lang w:val="en-GB"/>
        </w:rPr>
        <w:t>To identify synergies, similar priority areas were grouped into broader categories. This step helped to harmonise the priorities of countries with overlapping interests while considering regional differences.</w:t>
      </w:r>
    </w:p>
    <w:p w14:paraId="15DDC8D2" w14:textId="1F86BF32" w:rsidR="005F3296" w:rsidRPr="00516C1F" w:rsidRDefault="00644EDA" w:rsidP="00665F97">
      <w:pPr>
        <w:pStyle w:val="ListParagraph"/>
        <w:numPr>
          <w:ilvl w:val="0"/>
          <w:numId w:val="2"/>
        </w:numPr>
        <w:jc w:val="both"/>
        <w:rPr>
          <w:rFonts w:cs="Calibri"/>
          <w:lang w:val="en-GB"/>
        </w:rPr>
      </w:pPr>
      <w:r w:rsidRPr="00516C1F">
        <w:rPr>
          <w:rFonts w:cs="Calibri"/>
          <w:b/>
          <w:bCs/>
          <w:lang w:val="en-GB"/>
        </w:rPr>
        <w:t xml:space="preserve">Ranking of common priorities: </w:t>
      </w:r>
      <w:r w:rsidRPr="00516C1F">
        <w:rPr>
          <w:rFonts w:cs="Calibri"/>
          <w:lang w:val="en-GB"/>
        </w:rPr>
        <w:t>Priority areas were ranked according to the number of countries emphasising them. This ranking emphasises the most prevalent research areas and provides a roadmap for targeted collaboration and resource allocation.</w:t>
      </w:r>
    </w:p>
    <w:p w14:paraId="10AA0727" w14:textId="648A3B5F" w:rsidR="000F2079" w:rsidRPr="00516C1F" w:rsidRDefault="00AB3DE1" w:rsidP="00D3531E">
      <w:pPr>
        <w:spacing w:after="0"/>
        <w:jc w:val="both"/>
        <w:rPr>
          <w:rFonts w:cs="Calibri"/>
          <w:lang w:val="en-GB"/>
        </w:rPr>
      </w:pPr>
      <w:r w:rsidRPr="00516C1F">
        <w:rPr>
          <w:rFonts w:cs="Calibri"/>
          <w:b/>
          <w:bCs/>
          <w:lang w:val="en-GB"/>
        </w:rPr>
        <w:t xml:space="preserve">Figure 1: </w:t>
      </w:r>
      <w:r w:rsidR="00431AC5" w:rsidRPr="00516C1F">
        <w:rPr>
          <w:rFonts w:cs="Calibri"/>
          <w:lang w:val="en-GB"/>
        </w:rPr>
        <w:t>Step-by-step approach conducted to identify the common S3 priority areas in the Danube Region</w:t>
      </w:r>
    </w:p>
    <w:p w14:paraId="61E6A7AB" w14:textId="4FF56097" w:rsidR="003D70EC" w:rsidRPr="00516C1F" w:rsidRDefault="006B685E" w:rsidP="00215F68">
      <w:pPr>
        <w:spacing w:after="0"/>
        <w:rPr>
          <w:rFonts w:cs="Calibri"/>
          <w:lang w:val="en-GB"/>
        </w:rPr>
      </w:pPr>
      <w:r w:rsidRPr="00516C1F">
        <w:rPr>
          <w:rFonts w:cs="Calibri"/>
          <w:noProof/>
          <w:lang w:val="en-GB"/>
        </w:rPr>
        <w:drawing>
          <wp:inline distT="0" distB="0" distL="0" distR="0" wp14:anchorId="29DCBF3B" wp14:editId="2047BD60">
            <wp:extent cx="5958840" cy="1005840"/>
            <wp:effectExtent l="0" t="0" r="22860" b="0"/>
            <wp:docPr id="781496121" name="Diagram 1">
              <a:extLst xmlns:a="http://schemas.openxmlformats.org/drawingml/2006/main">
                <a:ext uri="{FF2B5EF4-FFF2-40B4-BE49-F238E27FC236}">
                  <a16:creationId xmlns:a16="http://schemas.microsoft.com/office/drawing/2014/main" id="{EABE353F-5B38-5EAA-3705-D5FDBDFD7E6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8D8AF12" w14:textId="1219925C" w:rsidR="0004120F" w:rsidRPr="00516C1F" w:rsidRDefault="00184371" w:rsidP="00242A6E">
      <w:pPr>
        <w:jc w:val="both"/>
        <w:rPr>
          <w:rFonts w:cs="Calibri"/>
          <w:lang w:val="en-GB"/>
        </w:rPr>
      </w:pPr>
      <w:r w:rsidRPr="00516C1F">
        <w:rPr>
          <w:rFonts w:cs="Calibri"/>
          <w:lang w:val="en-GB"/>
        </w:rPr>
        <w:t>The analysis has identified key areas of research and innovation that resonate strongly across the Danube region. These areas underline both regional strengths and global relevance (Table 1).</w:t>
      </w:r>
    </w:p>
    <w:p w14:paraId="2E267726" w14:textId="3F6FE465" w:rsidR="0004120F" w:rsidRPr="00516C1F" w:rsidRDefault="00B50931" w:rsidP="00242A6E">
      <w:pPr>
        <w:jc w:val="both"/>
        <w:rPr>
          <w:rFonts w:cs="Calibri"/>
          <w:lang w:val="en-GB"/>
        </w:rPr>
      </w:pPr>
      <w:r w:rsidRPr="00516C1F">
        <w:rPr>
          <w:rFonts w:cs="Calibri"/>
          <w:b/>
          <w:bCs/>
          <w:lang w:val="en-GB"/>
        </w:rPr>
        <w:t>T</w:t>
      </w:r>
      <w:r w:rsidR="00962FD0" w:rsidRPr="00516C1F">
        <w:rPr>
          <w:rFonts w:cs="Calibri"/>
          <w:b/>
          <w:bCs/>
          <w:lang w:val="en-GB"/>
        </w:rPr>
        <w:t>able</w:t>
      </w:r>
      <w:r w:rsidR="004C31A6" w:rsidRPr="00516C1F">
        <w:rPr>
          <w:rFonts w:cs="Calibri"/>
          <w:b/>
          <w:bCs/>
          <w:lang w:val="en-GB"/>
        </w:rPr>
        <w:t xml:space="preserve"> 1</w:t>
      </w:r>
      <w:r w:rsidR="004C31A6" w:rsidRPr="00516C1F">
        <w:rPr>
          <w:rFonts w:cs="Calibri"/>
          <w:lang w:val="en-GB"/>
        </w:rPr>
        <w:t xml:space="preserve">: </w:t>
      </w:r>
      <w:r w:rsidR="00242A6E" w:rsidRPr="00516C1F">
        <w:rPr>
          <w:rFonts w:cs="Calibri"/>
          <w:lang w:val="en-GB"/>
        </w:rPr>
        <w:t>The list of most</w:t>
      </w:r>
      <w:r w:rsidR="002E526F" w:rsidRPr="00516C1F">
        <w:rPr>
          <w:rFonts w:cs="Calibri"/>
          <w:lang w:val="en-GB"/>
        </w:rPr>
        <w:t xml:space="preserve"> common </w:t>
      </w:r>
      <w:r w:rsidR="00DC4B38">
        <w:rPr>
          <w:rFonts w:cs="Calibri"/>
          <w:lang w:val="en-GB"/>
        </w:rPr>
        <w:t xml:space="preserve">S3 </w:t>
      </w:r>
      <w:r w:rsidR="002E526F" w:rsidRPr="00516C1F">
        <w:rPr>
          <w:rFonts w:cs="Calibri"/>
          <w:lang w:val="en-GB"/>
        </w:rPr>
        <w:t>priority areas in the Danube region countries</w:t>
      </w:r>
    </w:p>
    <w:tbl>
      <w:tblPr>
        <w:tblStyle w:val="PlainTable3"/>
        <w:tblW w:w="0" w:type="auto"/>
        <w:tblLook w:val="04A0" w:firstRow="1" w:lastRow="0" w:firstColumn="1" w:lastColumn="0" w:noHBand="0" w:noVBand="1"/>
      </w:tblPr>
      <w:tblGrid>
        <w:gridCol w:w="2250"/>
        <w:gridCol w:w="1294"/>
        <w:gridCol w:w="5816"/>
      </w:tblGrid>
      <w:tr w:rsidR="006D5FD8" w:rsidRPr="00516C1F" w14:paraId="21B58C29" w14:textId="77777777" w:rsidTr="008056F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50" w:type="dxa"/>
            <w:tcBorders>
              <w:top w:val="single" w:sz="4" w:space="0" w:color="auto"/>
            </w:tcBorders>
            <w:noWrap/>
            <w:hideMark/>
          </w:tcPr>
          <w:p w14:paraId="7061E2C4" w14:textId="0CFB0D28" w:rsidR="006D5FD8" w:rsidRPr="00516C1F" w:rsidRDefault="006D5FD8" w:rsidP="006D5FD8">
            <w:pPr>
              <w:rPr>
                <w:rFonts w:cs="Calibri"/>
                <w:sz w:val="20"/>
                <w:szCs w:val="20"/>
                <w:lang w:val="en-GB"/>
              </w:rPr>
            </w:pPr>
            <w:r w:rsidRPr="00516C1F">
              <w:rPr>
                <w:rFonts w:cs="Calibri"/>
                <w:sz w:val="20"/>
                <w:szCs w:val="20"/>
                <w:lang w:val="en-GB"/>
              </w:rPr>
              <w:t>P</w:t>
            </w:r>
            <w:r w:rsidR="001A306C" w:rsidRPr="00516C1F">
              <w:rPr>
                <w:rFonts w:cs="Calibri"/>
                <w:caps w:val="0"/>
                <w:sz w:val="20"/>
                <w:szCs w:val="20"/>
                <w:lang w:val="en-GB"/>
              </w:rPr>
              <w:t>riority area</w:t>
            </w:r>
          </w:p>
        </w:tc>
        <w:tc>
          <w:tcPr>
            <w:tcW w:w="1294" w:type="dxa"/>
            <w:tcBorders>
              <w:top w:val="single" w:sz="4" w:space="0" w:color="auto"/>
            </w:tcBorders>
            <w:noWrap/>
            <w:hideMark/>
          </w:tcPr>
          <w:p w14:paraId="764570B6" w14:textId="561B04BA" w:rsidR="006D5FD8" w:rsidRPr="00516C1F" w:rsidRDefault="006D5FD8" w:rsidP="006D5FD8">
            <w:pPr>
              <w:cnfStyle w:val="100000000000" w:firstRow="1"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N</w:t>
            </w:r>
            <w:r w:rsidR="001A306C" w:rsidRPr="00516C1F">
              <w:rPr>
                <w:rFonts w:cs="Calibri"/>
                <w:caps w:val="0"/>
                <w:sz w:val="20"/>
                <w:szCs w:val="20"/>
                <w:lang w:val="en-GB"/>
              </w:rPr>
              <w:t>umber of occurrences</w:t>
            </w:r>
          </w:p>
        </w:tc>
        <w:tc>
          <w:tcPr>
            <w:tcW w:w="5816" w:type="dxa"/>
            <w:tcBorders>
              <w:top w:val="single" w:sz="4" w:space="0" w:color="auto"/>
            </w:tcBorders>
            <w:noWrap/>
            <w:hideMark/>
          </w:tcPr>
          <w:p w14:paraId="6101EB87" w14:textId="06F66A45" w:rsidR="006D5FD8" w:rsidRPr="00516C1F" w:rsidRDefault="006D5FD8" w:rsidP="006D5FD8">
            <w:pPr>
              <w:cnfStyle w:val="100000000000" w:firstRow="1"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D</w:t>
            </w:r>
            <w:r w:rsidR="001A306C" w:rsidRPr="00516C1F">
              <w:rPr>
                <w:rFonts w:cs="Calibri"/>
                <w:caps w:val="0"/>
                <w:sz w:val="20"/>
                <w:szCs w:val="20"/>
                <w:lang w:val="en-GB"/>
              </w:rPr>
              <w:t>escription</w:t>
            </w:r>
          </w:p>
        </w:tc>
      </w:tr>
      <w:tr w:rsidR="003967C2" w:rsidRPr="00516C1F" w14:paraId="688D80B2" w14:textId="77777777" w:rsidTr="008056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8EAE40F" w14:textId="2646F0AB" w:rsidR="006D5FD8" w:rsidRPr="00516C1F" w:rsidRDefault="00AE2914" w:rsidP="006D5FD8">
            <w:pPr>
              <w:rPr>
                <w:rFonts w:cs="Calibri"/>
                <w:sz w:val="20"/>
                <w:szCs w:val="20"/>
                <w:lang w:val="en-GB"/>
              </w:rPr>
            </w:pPr>
            <w:bookmarkStart w:id="9" w:name="_Hlk208564819"/>
            <w:r w:rsidRPr="00516C1F">
              <w:rPr>
                <w:rFonts w:cs="Calibri"/>
                <w:caps w:val="0"/>
                <w:sz w:val="20"/>
                <w:szCs w:val="20"/>
                <w:lang w:val="en-GB"/>
              </w:rPr>
              <w:t>Agri-Food, Bioeconomy &amp; Biotechnology</w:t>
            </w:r>
            <w:bookmarkEnd w:id="9"/>
          </w:p>
        </w:tc>
        <w:tc>
          <w:tcPr>
            <w:tcW w:w="1294" w:type="dxa"/>
            <w:noWrap/>
            <w:hideMark/>
          </w:tcPr>
          <w:p w14:paraId="663BFE85" w14:textId="37C24D73" w:rsidR="006D5FD8" w:rsidRPr="00516C1F" w:rsidRDefault="008056FA" w:rsidP="003967C2">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11</w:t>
            </w:r>
          </w:p>
        </w:tc>
        <w:tc>
          <w:tcPr>
            <w:tcW w:w="5816" w:type="dxa"/>
            <w:noWrap/>
            <w:hideMark/>
          </w:tcPr>
          <w:p w14:paraId="26A023E3" w14:textId="5A09E67D" w:rsidR="006D5FD8" w:rsidRPr="00516C1F" w:rsidRDefault="006D5FD8" w:rsidP="006D5FD8">
            <w:pP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Covers sustainable agriculture, food security, and bioeconomy to support environmental sustainability.</w:t>
            </w:r>
          </w:p>
        </w:tc>
      </w:tr>
      <w:tr w:rsidR="008056FA" w:rsidRPr="00516C1F" w14:paraId="27B59155" w14:textId="77777777" w:rsidTr="008056FA">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65C4FC01" w14:textId="7EED2AB3" w:rsidR="008056FA" w:rsidRPr="00516C1F" w:rsidRDefault="008056FA" w:rsidP="008056FA">
            <w:pPr>
              <w:rPr>
                <w:rFonts w:cs="Calibri"/>
                <w:sz w:val="20"/>
                <w:szCs w:val="20"/>
                <w:lang w:val="en-GB"/>
              </w:rPr>
            </w:pPr>
            <w:r w:rsidRPr="00516C1F">
              <w:rPr>
                <w:rFonts w:cs="Calibri"/>
                <w:sz w:val="20"/>
                <w:szCs w:val="20"/>
                <w:lang w:val="en-GB"/>
              </w:rPr>
              <w:t xml:space="preserve">ICT </w:t>
            </w:r>
            <w:r w:rsidRPr="00516C1F">
              <w:rPr>
                <w:rFonts w:cs="Calibri"/>
                <w:caps w:val="0"/>
                <w:sz w:val="20"/>
                <w:szCs w:val="20"/>
                <w:lang w:val="en-GB"/>
              </w:rPr>
              <w:t xml:space="preserve">and </w:t>
            </w:r>
            <w:r w:rsidRPr="00516C1F">
              <w:rPr>
                <w:rFonts w:cs="Calibri"/>
                <w:sz w:val="20"/>
                <w:szCs w:val="20"/>
                <w:lang w:val="en-GB"/>
              </w:rPr>
              <w:t>D</w:t>
            </w:r>
            <w:r w:rsidRPr="00516C1F">
              <w:rPr>
                <w:rFonts w:cs="Calibri"/>
                <w:caps w:val="0"/>
                <w:sz w:val="20"/>
                <w:szCs w:val="20"/>
                <w:lang w:val="en-GB"/>
              </w:rPr>
              <w:t>igitalisation</w:t>
            </w:r>
          </w:p>
        </w:tc>
        <w:tc>
          <w:tcPr>
            <w:tcW w:w="1294" w:type="dxa"/>
            <w:noWrap/>
          </w:tcPr>
          <w:p w14:paraId="51048F33" w14:textId="6B8C21BE" w:rsidR="008056FA" w:rsidRPr="00516C1F" w:rsidRDefault="008056FA" w:rsidP="008056FA">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10</w:t>
            </w:r>
          </w:p>
        </w:tc>
        <w:tc>
          <w:tcPr>
            <w:tcW w:w="5816" w:type="dxa"/>
            <w:noWrap/>
          </w:tcPr>
          <w:p w14:paraId="36F67364" w14:textId="79F754A8" w:rsidR="008056FA" w:rsidRPr="00516C1F" w:rsidRDefault="008056FA" w:rsidP="008056FA">
            <w:pP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Focuses on digital transformation, Industry 4.0, and ICT-enabled solutions to enhance connectivity, digital skills, and automation.</w:t>
            </w:r>
          </w:p>
        </w:tc>
      </w:tr>
      <w:tr w:rsidR="008056FA" w:rsidRPr="00516C1F" w14:paraId="52CA7473" w14:textId="77777777" w:rsidTr="008056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4973DF5F" w14:textId="20779AC2" w:rsidR="008056FA" w:rsidRPr="00516C1F" w:rsidRDefault="008056FA" w:rsidP="008056FA">
            <w:pPr>
              <w:rPr>
                <w:rFonts w:cs="Calibri"/>
                <w:sz w:val="20"/>
                <w:szCs w:val="20"/>
                <w:lang w:val="en-GB"/>
              </w:rPr>
            </w:pPr>
            <w:r w:rsidRPr="00516C1F">
              <w:rPr>
                <w:rFonts w:cs="Calibri"/>
                <w:sz w:val="20"/>
                <w:szCs w:val="20"/>
                <w:lang w:val="en-GB"/>
              </w:rPr>
              <w:t>C</w:t>
            </w:r>
            <w:r w:rsidRPr="00516C1F">
              <w:rPr>
                <w:rFonts w:cs="Calibri"/>
                <w:caps w:val="0"/>
                <w:sz w:val="20"/>
                <w:szCs w:val="20"/>
                <w:lang w:val="en-GB"/>
              </w:rPr>
              <w:t>limate and Energy</w:t>
            </w:r>
          </w:p>
        </w:tc>
        <w:tc>
          <w:tcPr>
            <w:tcW w:w="1294" w:type="dxa"/>
            <w:noWrap/>
          </w:tcPr>
          <w:p w14:paraId="7D4D287C" w14:textId="2778C358" w:rsidR="008056FA" w:rsidRPr="00516C1F" w:rsidRDefault="008056FA" w:rsidP="008056FA">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9</w:t>
            </w:r>
          </w:p>
        </w:tc>
        <w:tc>
          <w:tcPr>
            <w:tcW w:w="5816" w:type="dxa"/>
            <w:noWrap/>
          </w:tcPr>
          <w:p w14:paraId="1417093F" w14:textId="5EEAC9A7" w:rsidR="008056FA" w:rsidRPr="00516C1F" w:rsidRDefault="008056FA" w:rsidP="008056FA">
            <w:pP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Emphasizes renewable energy, energy efficiency, and climate resilience to mitigate climate change and transition to greener economies.</w:t>
            </w:r>
          </w:p>
        </w:tc>
      </w:tr>
      <w:tr w:rsidR="006D5FD8" w:rsidRPr="00516C1F" w14:paraId="74F63AE7" w14:textId="77777777" w:rsidTr="008056FA">
        <w:trPr>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78F2693" w14:textId="346CB745" w:rsidR="006D5FD8" w:rsidRPr="00516C1F" w:rsidRDefault="006D5FD8" w:rsidP="006D5FD8">
            <w:pPr>
              <w:rPr>
                <w:rFonts w:cs="Calibri"/>
                <w:sz w:val="20"/>
                <w:szCs w:val="20"/>
                <w:lang w:val="en-GB"/>
              </w:rPr>
            </w:pPr>
            <w:r w:rsidRPr="00516C1F">
              <w:rPr>
                <w:rFonts w:cs="Calibri"/>
                <w:sz w:val="20"/>
                <w:szCs w:val="20"/>
                <w:lang w:val="en-GB"/>
              </w:rPr>
              <w:lastRenderedPageBreak/>
              <w:t>H</w:t>
            </w:r>
            <w:r w:rsidR="001A306C" w:rsidRPr="00516C1F">
              <w:rPr>
                <w:rFonts w:cs="Calibri"/>
                <w:caps w:val="0"/>
                <w:sz w:val="20"/>
                <w:szCs w:val="20"/>
                <w:lang w:val="en-GB"/>
              </w:rPr>
              <w:t xml:space="preserve">ealth and </w:t>
            </w:r>
            <w:r w:rsidRPr="00516C1F">
              <w:rPr>
                <w:rFonts w:cs="Calibri"/>
                <w:sz w:val="20"/>
                <w:szCs w:val="20"/>
                <w:lang w:val="en-GB"/>
              </w:rPr>
              <w:t>M</w:t>
            </w:r>
            <w:r w:rsidR="001A306C" w:rsidRPr="00516C1F">
              <w:rPr>
                <w:rFonts w:cs="Calibri"/>
                <w:caps w:val="0"/>
                <w:sz w:val="20"/>
                <w:szCs w:val="20"/>
                <w:lang w:val="en-GB"/>
              </w:rPr>
              <w:t>edicine</w:t>
            </w:r>
          </w:p>
        </w:tc>
        <w:tc>
          <w:tcPr>
            <w:tcW w:w="1294" w:type="dxa"/>
            <w:noWrap/>
            <w:hideMark/>
          </w:tcPr>
          <w:p w14:paraId="69C79D2E" w14:textId="77777777" w:rsidR="006D5FD8" w:rsidRPr="00516C1F" w:rsidRDefault="006D5FD8" w:rsidP="003967C2">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8</w:t>
            </w:r>
          </w:p>
        </w:tc>
        <w:tc>
          <w:tcPr>
            <w:tcW w:w="5816" w:type="dxa"/>
            <w:noWrap/>
            <w:hideMark/>
          </w:tcPr>
          <w:p w14:paraId="29E5EE5D" w14:textId="7A1F3F03" w:rsidR="006D5FD8" w:rsidRPr="00516C1F" w:rsidRDefault="006D5FD8" w:rsidP="006D5FD8">
            <w:pP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Encompasses healthcare technologies</w:t>
            </w:r>
            <w:r w:rsidR="008056FA" w:rsidRPr="00516C1F">
              <w:rPr>
                <w:rFonts w:cs="Calibri"/>
                <w:sz w:val="20"/>
                <w:szCs w:val="20"/>
                <w:lang w:val="en-GB"/>
              </w:rPr>
              <w:t xml:space="preserve"> </w:t>
            </w:r>
            <w:r w:rsidRPr="00516C1F">
              <w:rPr>
                <w:rFonts w:cs="Calibri"/>
                <w:sz w:val="20"/>
                <w:szCs w:val="20"/>
                <w:lang w:val="en-GB"/>
              </w:rPr>
              <w:t>and public health to improve medical research and healthcare systems.</w:t>
            </w:r>
          </w:p>
        </w:tc>
      </w:tr>
      <w:tr w:rsidR="003967C2" w:rsidRPr="00516C1F" w14:paraId="41A90A1E" w14:textId="77777777" w:rsidTr="008056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53E96F2" w14:textId="4CFDD254" w:rsidR="006D5FD8" w:rsidRPr="00516C1F" w:rsidRDefault="006D5FD8" w:rsidP="006D5FD8">
            <w:pPr>
              <w:rPr>
                <w:rFonts w:cs="Calibri"/>
                <w:sz w:val="20"/>
                <w:szCs w:val="20"/>
                <w:lang w:val="en-GB"/>
              </w:rPr>
            </w:pPr>
            <w:r w:rsidRPr="00516C1F">
              <w:rPr>
                <w:rFonts w:cs="Calibri"/>
                <w:sz w:val="20"/>
                <w:szCs w:val="20"/>
                <w:lang w:val="en-GB"/>
              </w:rPr>
              <w:t>S</w:t>
            </w:r>
            <w:r w:rsidR="001A306C" w:rsidRPr="00516C1F">
              <w:rPr>
                <w:rFonts w:cs="Calibri"/>
                <w:caps w:val="0"/>
                <w:sz w:val="20"/>
                <w:szCs w:val="20"/>
                <w:lang w:val="en-GB"/>
              </w:rPr>
              <w:t xml:space="preserve">mart </w:t>
            </w:r>
            <w:r w:rsidRPr="00516C1F">
              <w:rPr>
                <w:rFonts w:cs="Calibri"/>
                <w:sz w:val="20"/>
                <w:szCs w:val="20"/>
                <w:lang w:val="en-GB"/>
              </w:rPr>
              <w:t>A</w:t>
            </w:r>
            <w:r w:rsidR="001A306C" w:rsidRPr="00516C1F">
              <w:rPr>
                <w:rFonts w:cs="Calibri"/>
                <w:caps w:val="0"/>
                <w:sz w:val="20"/>
                <w:szCs w:val="20"/>
                <w:lang w:val="en-GB"/>
              </w:rPr>
              <w:t>utomotive</w:t>
            </w:r>
            <w:r w:rsidRPr="00516C1F">
              <w:rPr>
                <w:rFonts w:cs="Calibri"/>
                <w:sz w:val="20"/>
                <w:szCs w:val="20"/>
                <w:lang w:val="en-GB"/>
              </w:rPr>
              <w:t xml:space="preserve"> &amp; M</w:t>
            </w:r>
            <w:r w:rsidR="001A306C" w:rsidRPr="00516C1F">
              <w:rPr>
                <w:rFonts w:cs="Calibri"/>
                <w:caps w:val="0"/>
                <w:sz w:val="20"/>
                <w:szCs w:val="20"/>
                <w:lang w:val="en-GB"/>
              </w:rPr>
              <w:t>obility</w:t>
            </w:r>
          </w:p>
        </w:tc>
        <w:tc>
          <w:tcPr>
            <w:tcW w:w="1294" w:type="dxa"/>
            <w:noWrap/>
            <w:hideMark/>
          </w:tcPr>
          <w:p w14:paraId="6D319276" w14:textId="77777777" w:rsidR="006D5FD8" w:rsidRPr="00516C1F" w:rsidRDefault="006D5FD8" w:rsidP="003967C2">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6</w:t>
            </w:r>
          </w:p>
        </w:tc>
        <w:tc>
          <w:tcPr>
            <w:tcW w:w="5816" w:type="dxa"/>
            <w:noWrap/>
            <w:hideMark/>
          </w:tcPr>
          <w:p w14:paraId="21CC9CD3" w14:textId="77777777" w:rsidR="006D5FD8" w:rsidRPr="00516C1F" w:rsidRDefault="006D5FD8" w:rsidP="006D5FD8">
            <w:pP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Focuses on sustainable transport solutions, including electric vehicles and mobility innovations.</w:t>
            </w:r>
          </w:p>
        </w:tc>
      </w:tr>
      <w:tr w:rsidR="006D5FD8" w:rsidRPr="00516C1F" w14:paraId="4AB1A9AE" w14:textId="77777777" w:rsidTr="008056FA">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CF5F4F9" w14:textId="7E46BBA2" w:rsidR="006D5FD8" w:rsidRPr="00516C1F" w:rsidRDefault="006D5FD8" w:rsidP="006D5FD8">
            <w:pPr>
              <w:rPr>
                <w:rFonts w:cs="Calibri"/>
                <w:sz w:val="20"/>
                <w:szCs w:val="20"/>
                <w:lang w:val="en-GB"/>
              </w:rPr>
            </w:pPr>
            <w:r w:rsidRPr="00516C1F">
              <w:rPr>
                <w:rFonts w:cs="Calibri"/>
                <w:sz w:val="20"/>
                <w:szCs w:val="20"/>
                <w:lang w:val="en-GB"/>
              </w:rPr>
              <w:t>C</w:t>
            </w:r>
            <w:r w:rsidR="001A306C" w:rsidRPr="00516C1F">
              <w:rPr>
                <w:rFonts w:cs="Calibri"/>
                <w:caps w:val="0"/>
                <w:sz w:val="20"/>
                <w:szCs w:val="20"/>
                <w:lang w:val="en-GB"/>
              </w:rPr>
              <w:t xml:space="preserve">reative </w:t>
            </w:r>
            <w:r w:rsidRPr="00516C1F">
              <w:rPr>
                <w:rFonts w:cs="Calibri"/>
                <w:sz w:val="20"/>
                <w:szCs w:val="20"/>
                <w:lang w:val="en-GB"/>
              </w:rPr>
              <w:t>I</w:t>
            </w:r>
            <w:r w:rsidR="001A306C" w:rsidRPr="00516C1F">
              <w:rPr>
                <w:rFonts w:cs="Calibri"/>
                <w:caps w:val="0"/>
                <w:sz w:val="20"/>
                <w:szCs w:val="20"/>
                <w:lang w:val="en-GB"/>
              </w:rPr>
              <w:t>ndustries</w:t>
            </w:r>
          </w:p>
        </w:tc>
        <w:tc>
          <w:tcPr>
            <w:tcW w:w="1294" w:type="dxa"/>
            <w:noWrap/>
            <w:hideMark/>
          </w:tcPr>
          <w:p w14:paraId="52C3A04A" w14:textId="77777777" w:rsidR="006D5FD8" w:rsidRPr="00516C1F" w:rsidRDefault="006D5FD8" w:rsidP="003967C2">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5</w:t>
            </w:r>
          </w:p>
        </w:tc>
        <w:tc>
          <w:tcPr>
            <w:tcW w:w="5816" w:type="dxa"/>
            <w:noWrap/>
            <w:hideMark/>
          </w:tcPr>
          <w:p w14:paraId="35E91AB0" w14:textId="77777777" w:rsidR="006D5FD8" w:rsidRPr="00516C1F" w:rsidRDefault="006D5FD8" w:rsidP="006D5FD8">
            <w:pP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Highlights innovation in arts, media, and design, fostering economic growth through creative contributions.</w:t>
            </w:r>
          </w:p>
        </w:tc>
      </w:tr>
      <w:tr w:rsidR="003967C2" w:rsidRPr="00516C1F" w14:paraId="62470ED4" w14:textId="77777777" w:rsidTr="008056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CC74697" w14:textId="6495D36B" w:rsidR="006D5FD8" w:rsidRPr="00516C1F" w:rsidRDefault="006D5FD8" w:rsidP="006D5FD8">
            <w:pPr>
              <w:rPr>
                <w:rFonts w:cs="Calibri"/>
                <w:sz w:val="20"/>
                <w:szCs w:val="20"/>
                <w:lang w:val="en-GB"/>
              </w:rPr>
            </w:pPr>
            <w:r w:rsidRPr="00516C1F">
              <w:rPr>
                <w:rFonts w:cs="Calibri"/>
                <w:sz w:val="20"/>
                <w:szCs w:val="20"/>
                <w:lang w:val="en-GB"/>
              </w:rPr>
              <w:t>M</w:t>
            </w:r>
            <w:r w:rsidR="001A306C" w:rsidRPr="00516C1F">
              <w:rPr>
                <w:rFonts w:cs="Calibri"/>
                <w:caps w:val="0"/>
                <w:sz w:val="20"/>
                <w:szCs w:val="20"/>
                <w:lang w:val="en-GB"/>
              </w:rPr>
              <w:t>aterials</w:t>
            </w:r>
          </w:p>
        </w:tc>
        <w:tc>
          <w:tcPr>
            <w:tcW w:w="1294" w:type="dxa"/>
            <w:noWrap/>
            <w:hideMark/>
          </w:tcPr>
          <w:p w14:paraId="23EBC22F" w14:textId="77777777" w:rsidR="006D5FD8" w:rsidRPr="00516C1F" w:rsidRDefault="006D5FD8" w:rsidP="003967C2">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4</w:t>
            </w:r>
          </w:p>
        </w:tc>
        <w:tc>
          <w:tcPr>
            <w:tcW w:w="5816" w:type="dxa"/>
            <w:noWrap/>
            <w:hideMark/>
          </w:tcPr>
          <w:p w14:paraId="268548D0" w14:textId="77777777" w:rsidR="006D5FD8" w:rsidRPr="00516C1F" w:rsidRDefault="006D5FD8" w:rsidP="006D5FD8">
            <w:pP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Includes research in advanced materials to support industrial innovation and sustainable practices.</w:t>
            </w:r>
          </w:p>
        </w:tc>
      </w:tr>
      <w:tr w:rsidR="003967C2" w:rsidRPr="00516C1F" w14:paraId="156AD079" w14:textId="77777777" w:rsidTr="008056FA">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E9FFF88" w14:textId="65DA80E0" w:rsidR="006D5FD8" w:rsidRPr="00516C1F" w:rsidRDefault="006D5FD8" w:rsidP="006D5FD8">
            <w:pPr>
              <w:rPr>
                <w:rFonts w:cs="Calibri"/>
                <w:sz w:val="20"/>
                <w:szCs w:val="20"/>
                <w:lang w:val="en-GB"/>
              </w:rPr>
            </w:pPr>
            <w:r w:rsidRPr="00516C1F">
              <w:rPr>
                <w:rFonts w:cs="Calibri"/>
                <w:sz w:val="20"/>
                <w:szCs w:val="20"/>
                <w:lang w:val="en-GB"/>
              </w:rPr>
              <w:t>M</w:t>
            </w:r>
            <w:r w:rsidR="001A306C" w:rsidRPr="00516C1F">
              <w:rPr>
                <w:rFonts w:cs="Calibri"/>
                <w:caps w:val="0"/>
                <w:sz w:val="20"/>
                <w:szCs w:val="20"/>
                <w:lang w:val="en-GB"/>
              </w:rPr>
              <w:t xml:space="preserve">echatronics and </w:t>
            </w:r>
            <w:r w:rsidRPr="00516C1F">
              <w:rPr>
                <w:rFonts w:cs="Calibri"/>
                <w:sz w:val="20"/>
                <w:szCs w:val="20"/>
                <w:lang w:val="en-GB"/>
              </w:rPr>
              <w:t>M</w:t>
            </w:r>
            <w:r w:rsidR="001A306C" w:rsidRPr="00516C1F">
              <w:rPr>
                <w:rFonts w:cs="Calibri"/>
                <w:caps w:val="0"/>
                <w:sz w:val="20"/>
                <w:szCs w:val="20"/>
                <w:lang w:val="en-GB"/>
              </w:rPr>
              <w:t>icroelectronics</w:t>
            </w:r>
          </w:p>
        </w:tc>
        <w:tc>
          <w:tcPr>
            <w:tcW w:w="1294" w:type="dxa"/>
            <w:noWrap/>
            <w:hideMark/>
          </w:tcPr>
          <w:p w14:paraId="1B1AE870" w14:textId="77777777" w:rsidR="006D5FD8" w:rsidRPr="00516C1F" w:rsidRDefault="006D5FD8" w:rsidP="003967C2">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3</w:t>
            </w:r>
          </w:p>
        </w:tc>
        <w:tc>
          <w:tcPr>
            <w:tcW w:w="5816" w:type="dxa"/>
            <w:noWrap/>
            <w:hideMark/>
          </w:tcPr>
          <w:p w14:paraId="7253D6F8" w14:textId="77777777" w:rsidR="006D5FD8" w:rsidRPr="00516C1F" w:rsidRDefault="006D5FD8" w:rsidP="006D5FD8">
            <w:pP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Focuses on advanced manufacturing technologies, automation, and electronic systems.</w:t>
            </w:r>
          </w:p>
        </w:tc>
      </w:tr>
      <w:tr w:rsidR="006D5FD8" w:rsidRPr="00516C1F" w14:paraId="3713519C" w14:textId="77777777" w:rsidTr="008056F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DCC667B" w14:textId="2BA84333" w:rsidR="006D5FD8" w:rsidRPr="00516C1F" w:rsidRDefault="006D5FD8" w:rsidP="006D5FD8">
            <w:pPr>
              <w:rPr>
                <w:rFonts w:cs="Calibri"/>
                <w:sz w:val="20"/>
                <w:szCs w:val="20"/>
                <w:lang w:val="en-GB"/>
              </w:rPr>
            </w:pPr>
            <w:r w:rsidRPr="00516C1F">
              <w:rPr>
                <w:rFonts w:cs="Calibri"/>
                <w:sz w:val="20"/>
                <w:szCs w:val="20"/>
                <w:lang w:val="en-GB"/>
              </w:rPr>
              <w:t>T</w:t>
            </w:r>
            <w:r w:rsidR="001A306C" w:rsidRPr="00516C1F">
              <w:rPr>
                <w:rFonts w:cs="Calibri"/>
                <w:caps w:val="0"/>
                <w:sz w:val="20"/>
                <w:szCs w:val="20"/>
                <w:lang w:val="en-GB"/>
              </w:rPr>
              <w:t>ourism</w:t>
            </w:r>
          </w:p>
        </w:tc>
        <w:tc>
          <w:tcPr>
            <w:tcW w:w="1294" w:type="dxa"/>
            <w:noWrap/>
            <w:hideMark/>
          </w:tcPr>
          <w:p w14:paraId="6584632F" w14:textId="77777777" w:rsidR="006D5FD8" w:rsidRPr="00516C1F" w:rsidRDefault="006D5FD8" w:rsidP="003967C2">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3</w:t>
            </w:r>
          </w:p>
        </w:tc>
        <w:tc>
          <w:tcPr>
            <w:tcW w:w="5816" w:type="dxa"/>
            <w:noWrap/>
            <w:hideMark/>
          </w:tcPr>
          <w:p w14:paraId="22DDEE7F" w14:textId="77777777" w:rsidR="006D5FD8" w:rsidRPr="00516C1F" w:rsidRDefault="006D5FD8" w:rsidP="006D5FD8">
            <w:pP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Recognizes the cultural and natural heritage of the region, promoting innovation in tourism services.</w:t>
            </w:r>
          </w:p>
        </w:tc>
      </w:tr>
      <w:tr w:rsidR="003967C2" w:rsidRPr="00516C1F" w14:paraId="185D3570" w14:textId="77777777" w:rsidTr="008056FA">
        <w:trPr>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B2E8E7B" w14:textId="79390FCD" w:rsidR="006D5FD8" w:rsidRPr="00516C1F" w:rsidRDefault="006D5FD8" w:rsidP="006D5FD8">
            <w:pPr>
              <w:rPr>
                <w:rFonts w:cs="Calibri"/>
                <w:sz w:val="20"/>
                <w:szCs w:val="20"/>
                <w:lang w:val="en-GB"/>
              </w:rPr>
            </w:pPr>
            <w:r w:rsidRPr="00516C1F">
              <w:rPr>
                <w:rFonts w:cs="Calibri"/>
                <w:sz w:val="20"/>
                <w:szCs w:val="20"/>
                <w:lang w:val="en-GB"/>
              </w:rPr>
              <w:t>M</w:t>
            </w:r>
            <w:r w:rsidR="001A306C" w:rsidRPr="00516C1F">
              <w:rPr>
                <w:rFonts w:cs="Calibri"/>
                <w:caps w:val="0"/>
                <w:sz w:val="20"/>
                <w:szCs w:val="20"/>
                <w:lang w:val="en-GB"/>
              </w:rPr>
              <w:t>anufacturing</w:t>
            </w:r>
          </w:p>
        </w:tc>
        <w:tc>
          <w:tcPr>
            <w:tcW w:w="1294" w:type="dxa"/>
            <w:noWrap/>
            <w:hideMark/>
          </w:tcPr>
          <w:p w14:paraId="441D0975" w14:textId="77777777" w:rsidR="006D5FD8" w:rsidRPr="00516C1F" w:rsidRDefault="006D5FD8" w:rsidP="003967C2">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1</w:t>
            </w:r>
          </w:p>
        </w:tc>
        <w:tc>
          <w:tcPr>
            <w:tcW w:w="5816" w:type="dxa"/>
            <w:noWrap/>
            <w:hideMark/>
          </w:tcPr>
          <w:p w14:paraId="2900A240" w14:textId="77777777" w:rsidR="006D5FD8" w:rsidRPr="00516C1F" w:rsidRDefault="006D5FD8" w:rsidP="006D5FD8">
            <w:pPr>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16C1F">
              <w:rPr>
                <w:rFonts w:cs="Calibri"/>
                <w:sz w:val="20"/>
                <w:szCs w:val="20"/>
                <w:lang w:val="en-GB"/>
              </w:rPr>
              <w:t>Highlights niche manufacturing sectors with potential for targeted growth and innovation.</w:t>
            </w:r>
          </w:p>
        </w:tc>
      </w:tr>
      <w:tr w:rsidR="006D5FD8" w:rsidRPr="00516C1F" w14:paraId="2881BBD6" w14:textId="77777777" w:rsidTr="008056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AD7C867" w14:textId="7501EB8F" w:rsidR="006D5FD8" w:rsidRPr="00516C1F" w:rsidRDefault="006D5FD8" w:rsidP="006D5FD8">
            <w:pPr>
              <w:rPr>
                <w:rFonts w:cs="Calibri"/>
                <w:sz w:val="20"/>
                <w:szCs w:val="20"/>
                <w:lang w:val="en-GB"/>
              </w:rPr>
            </w:pPr>
            <w:r w:rsidRPr="00516C1F">
              <w:rPr>
                <w:rFonts w:cs="Calibri"/>
                <w:sz w:val="20"/>
                <w:szCs w:val="20"/>
                <w:lang w:val="en-GB"/>
              </w:rPr>
              <w:t>W</w:t>
            </w:r>
            <w:r w:rsidR="001A306C" w:rsidRPr="00516C1F">
              <w:rPr>
                <w:rFonts w:cs="Calibri"/>
                <w:caps w:val="0"/>
                <w:sz w:val="20"/>
                <w:szCs w:val="20"/>
                <w:lang w:val="en-GB"/>
              </w:rPr>
              <w:t>ood</w:t>
            </w:r>
          </w:p>
        </w:tc>
        <w:tc>
          <w:tcPr>
            <w:tcW w:w="1294" w:type="dxa"/>
            <w:noWrap/>
            <w:hideMark/>
          </w:tcPr>
          <w:p w14:paraId="532FF288" w14:textId="77777777" w:rsidR="006D5FD8" w:rsidRPr="00516C1F" w:rsidRDefault="006D5FD8" w:rsidP="003967C2">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2</w:t>
            </w:r>
          </w:p>
        </w:tc>
        <w:tc>
          <w:tcPr>
            <w:tcW w:w="5816" w:type="dxa"/>
            <w:noWrap/>
            <w:hideMark/>
          </w:tcPr>
          <w:p w14:paraId="71782072" w14:textId="77777777" w:rsidR="006D5FD8" w:rsidRPr="00516C1F" w:rsidRDefault="006D5FD8" w:rsidP="006D5FD8">
            <w:pPr>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16C1F">
              <w:rPr>
                <w:rFonts w:cs="Calibri"/>
                <w:sz w:val="20"/>
                <w:szCs w:val="20"/>
                <w:lang w:val="en-GB"/>
              </w:rPr>
              <w:t>Emphasizes forestry-related industries, sustainability, and the development of wood-based products.</w:t>
            </w:r>
          </w:p>
        </w:tc>
      </w:tr>
    </w:tbl>
    <w:p w14:paraId="02B73FC9" w14:textId="749BFED0" w:rsidR="00B50931" w:rsidRPr="00214265" w:rsidRDefault="000B0E79" w:rsidP="00131921">
      <w:pPr>
        <w:rPr>
          <w:rFonts w:cs="Calibri"/>
          <w:sz w:val="18"/>
          <w:szCs w:val="18"/>
          <w:lang w:val="en-GB"/>
        </w:rPr>
      </w:pPr>
      <w:r w:rsidRPr="00214265">
        <w:rPr>
          <w:rFonts w:cs="Calibri"/>
          <w:sz w:val="18"/>
          <w:szCs w:val="18"/>
          <w:lang w:val="en-GB"/>
        </w:rPr>
        <w:t>Source: Author's calculation based on the official S3 documents of the individual countries of the Danube region</w:t>
      </w:r>
    </w:p>
    <w:p w14:paraId="6F1E36D0" w14:textId="36EE3E1C" w:rsidR="00686ADA" w:rsidRPr="00516C1F" w:rsidRDefault="002A5F73" w:rsidP="00B60CD7">
      <w:pPr>
        <w:jc w:val="both"/>
        <w:rPr>
          <w:rFonts w:cs="Calibri"/>
          <w:lang w:val="en-GB"/>
        </w:rPr>
      </w:pPr>
      <w:r>
        <w:rPr>
          <w:rFonts w:cs="Calibri"/>
          <w:b/>
          <w:bCs/>
          <w:lang w:val="en-GB"/>
        </w:rPr>
        <w:t>Among the identified priority areas in the Danube Region, Agri-Food</w:t>
      </w:r>
      <w:r w:rsidR="00A2331D">
        <w:rPr>
          <w:rFonts w:cs="Calibri"/>
          <w:b/>
          <w:bCs/>
          <w:lang w:val="en-GB"/>
        </w:rPr>
        <w:t>,</w:t>
      </w:r>
      <w:r>
        <w:rPr>
          <w:rFonts w:cs="Calibri"/>
          <w:b/>
          <w:bCs/>
          <w:lang w:val="en-GB"/>
        </w:rPr>
        <w:t xml:space="preserve"> Bioeconomy &amp; Biotechnology, ICT </w:t>
      </w:r>
      <w:r w:rsidR="00A2331D">
        <w:rPr>
          <w:rFonts w:cs="Calibri"/>
          <w:b/>
          <w:bCs/>
          <w:lang w:val="en-GB"/>
        </w:rPr>
        <w:t>and</w:t>
      </w:r>
      <w:r>
        <w:rPr>
          <w:rFonts w:cs="Calibri"/>
          <w:b/>
          <w:bCs/>
          <w:lang w:val="en-GB"/>
        </w:rPr>
        <w:t xml:space="preserve"> Digitalisation, and Climate </w:t>
      </w:r>
      <w:r w:rsidR="00A2331D">
        <w:rPr>
          <w:rFonts w:cs="Calibri"/>
          <w:b/>
          <w:bCs/>
          <w:lang w:val="en-GB"/>
        </w:rPr>
        <w:t>and</w:t>
      </w:r>
      <w:r>
        <w:rPr>
          <w:rFonts w:cs="Calibri"/>
          <w:b/>
          <w:bCs/>
          <w:lang w:val="en-GB"/>
        </w:rPr>
        <w:t xml:space="preserve"> Energy are </w:t>
      </w:r>
      <w:r w:rsidR="00A2331D">
        <w:rPr>
          <w:rFonts w:cs="Calibri"/>
          <w:b/>
          <w:bCs/>
          <w:lang w:val="en-GB"/>
        </w:rPr>
        <w:t xml:space="preserve">the three </w:t>
      </w:r>
      <w:r>
        <w:rPr>
          <w:rFonts w:cs="Calibri"/>
          <w:b/>
          <w:bCs/>
          <w:lang w:val="en-GB"/>
        </w:rPr>
        <w:t xml:space="preserve">most frequently prioritized and thus underscore their central role in regional innovation agendas. </w:t>
      </w:r>
      <w:r w:rsidRPr="002A5F73">
        <w:rPr>
          <w:rFonts w:cs="Calibri"/>
          <w:lang w:val="en-GB"/>
        </w:rPr>
        <w:t>Agri-Food</w:t>
      </w:r>
      <w:r w:rsidR="00A2331D">
        <w:rPr>
          <w:rFonts w:cs="Calibri"/>
          <w:lang w:val="en-GB"/>
        </w:rPr>
        <w:t>,</w:t>
      </w:r>
      <w:r w:rsidRPr="002A5F73">
        <w:rPr>
          <w:rFonts w:cs="Calibri"/>
          <w:lang w:val="en-GB"/>
        </w:rPr>
        <w:t xml:space="preserve"> Bioeconomy &amp; Biotechnology is a cornerstone of the Danube Region’s innovation agenda given its strong agricultural base, the growing importance of sustainable food systems and the potential of biotechnology to add value and promote resilience across the agri-food sector. ICT, with its focus on digital transformation, Industry 4.0 and advanced connectivity, is central to improving the region's technological capabilities and modernizing the economy. This priority area supports the digital economy, promotes automation and is in line with the global shift towards technology-driven development. The area of climate </w:t>
      </w:r>
      <w:r w:rsidR="00A2331D">
        <w:rPr>
          <w:rFonts w:cs="Calibri"/>
          <w:lang w:val="en-GB"/>
        </w:rPr>
        <w:t>and</w:t>
      </w:r>
      <w:r w:rsidRPr="002A5F73">
        <w:rPr>
          <w:rFonts w:cs="Calibri"/>
          <w:lang w:val="en-GB"/>
        </w:rPr>
        <w:t xml:space="preserve"> energy is also of immense importance as the region faces the challenges of climate change and the transition to sustainable energy systems. This area underlines the region's commitment to renewable energy, energy efficiency and climate resilience and positions the Danube region as a leader in the global quest for a greener and more sustainable future.</w:t>
      </w:r>
    </w:p>
    <w:p w14:paraId="14082805" w14:textId="32EF9D56" w:rsidR="00ED390B" w:rsidRPr="00516C1F" w:rsidRDefault="00DF683B" w:rsidP="00F625FA">
      <w:pPr>
        <w:jc w:val="both"/>
        <w:rPr>
          <w:rFonts w:cs="Calibri"/>
          <w:lang w:val="en-GB"/>
        </w:rPr>
      </w:pPr>
      <w:r>
        <w:rPr>
          <w:rFonts w:cs="Calibri"/>
          <w:lang w:val="en-GB"/>
        </w:rPr>
        <w:t>These shared priorities show that</w:t>
      </w:r>
      <w:r w:rsidR="00320E71" w:rsidRPr="00320E71">
        <w:rPr>
          <w:rFonts w:cs="Calibri"/>
          <w:lang w:val="en-GB"/>
        </w:rPr>
        <w:t xml:space="preserve"> the Danube Region countries have recognized the need to align with European objectives such as the Green Deal, the Farm to Fork Strategy, and the Digital Europe Programme. This alignment not only strengthens their capacity to tackle cross-border challenges</w:t>
      </w:r>
      <w:r>
        <w:rPr>
          <w:rFonts w:cs="Calibri"/>
          <w:lang w:val="en-GB"/>
        </w:rPr>
        <w:t>,</w:t>
      </w:r>
      <w:r w:rsidR="00320E71" w:rsidRPr="00320E71">
        <w:rPr>
          <w:rFonts w:cs="Calibri"/>
          <w:lang w:val="en-GB"/>
        </w:rPr>
        <w:t xml:space="preserve"> </w:t>
      </w:r>
      <w:r>
        <w:rPr>
          <w:rFonts w:cs="Calibri"/>
          <w:lang w:val="en-GB"/>
        </w:rPr>
        <w:t>such as</w:t>
      </w:r>
      <w:r w:rsidR="00320E71" w:rsidRPr="00320E71">
        <w:rPr>
          <w:rFonts w:cs="Calibri"/>
          <w:lang w:val="en-GB"/>
        </w:rPr>
        <w:t xml:space="preserve"> climate change and digital transition</w:t>
      </w:r>
      <w:r>
        <w:rPr>
          <w:rFonts w:cs="Calibri"/>
          <w:lang w:val="en-GB"/>
        </w:rPr>
        <w:t>,</w:t>
      </w:r>
      <w:r w:rsidR="00320E71" w:rsidRPr="00320E71">
        <w:rPr>
          <w:rFonts w:cs="Calibri"/>
          <w:lang w:val="en-GB"/>
        </w:rPr>
        <w:t xml:space="preserve"> but also positions the region as an active contributor to Europe’s broader innovation and sustainability agenda.</w:t>
      </w:r>
    </w:p>
    <w:p w14:paraId="3EBF391A" w14:textId="77777777" w:rsidR="00EB1A5E" w:rsidRPr="00516C1F" w:rsidRDefault="00EB1A5E" w:rsidP="00F625FA">
      <w:pPr>
        <w:jc w:val="both"/>
        <w:rPr>
          <w:rFonts w:cs="Calibri"/>
          <w:lang w:val="en-GB"/>
        </w:rPr>
      </w:pPr>
    </w:p>
    <w:p w14:paraId="4A5FB17D" w14:textId="77777777" w:rsidR="00EB1A5E" w:rsidRPr="00516C1F" w:rsidRDefault="00EB1A5E" w:rsidP="00F625FA">
      <w:pPr>
        <w:jc w:val="both"/>
        <w:rPr>
          <w:rFonts w:cs="Calibri"/>
          <w:lang w:val="en-GB"/>
        </w:rPr>
      </w:pPr>
    </w:p>
    <w:p w14:paraId="62D1E51B" w14:textId="77777777" w:rsidR="00EB1A5E" w:rsidRPr="00516C1F" w:rsidRDefault="00EB1A5E" w:rsidP="00F625FA">
      <w:pPr>
        <w:jc w:val="both"/>
        <w:rPr>
          <w:rFonts w:cs="Calibri"/>
          <w:lang w:val="en-GB"/>
        </w:rPr>
      </w:pPr>
    </w:p>
    <w:p w14:paraId="3DC0B79D" w14:textId="77777777" w:rsidR="00EB1A5E" w:rsidRPr="00516C1F" w:rsidRDefault="00EB1A5E" w:rsidP="00F625FA">
      <w:pPr>
        <w:jc w:val="both"/>
        <w:rPr>
          <w:rFonts w:cs="Calibri"/>
          <w:lang w:val="en-GB"/>
        </w:rPr>
      </w:pPr>
    </w:p>
    <w:p w14:paraId="4905C37A" w14:textId="77777777" w:rsidR="00215F68" w:rsidRPr="00516C1F" w:rsidRDefault="00215F68" w:rsidP="00F625FA">
      <w:pPr>
        <w:jc w:val="both"/>
        <w:rPr>
          <w:rFonts w:cs="Calibri"/>
          <w:lang w:val="en-GB"/>
        </w:rPr>
      </w:pPr>
    </w:p>
    <w:p w14:paraId="15A33A20" w14:textId="5EEDF418" w:rsidR="00987216" w:rsidRPr="00516C1F" w:rsidRDefault="00983D9F" w:rsidP="00665F97">
      <w:pPr>
        <w:pStyle w:val="Heading1"/>
        <w:numPr>
          <w:ilvl w:val="0"/>
          <w:numId w:val="3"/>
        </w:numPr>
        <w:rPr>
          <w:lang w:val="en-GB"/>
        </w:rPr>
      </w:pPr>
      <w:bookmarkStart w:id="10" w:name="_Toc208824189"/>
      <w:r w:rsidRPr="00516C1F">
        <w:rPr>
          <w:lang w:val="en-GB"/>
        </w:rPr>
        <w:lastRenderedPageBreak/>
        <w:t xml:space="preserve">Unveiling collaboration patterns </w:t>
      </w:r>
      <w:r w:rsidR="00676A5F" w:rsidRPr="00516C1F">
        <w:rPr>
          <w:lang w:val="en-GB"/>
        </w:rPr>
        <w:t>and networks in the Danube region countries</w:t>
      </w:r>
      <w:bookmarkEnd w:id="10"/>
    </w:p>
    <w:p w14:paraId="2CE3E132" w14:textId="34EDC0BD" w:rsidR="00FE60D9" w:rsidRPr="00516C1F" w:rsidRDefault="0026721E" w:rsidP="00B81BFC">
      <w:pPr>
        <w:pStyle w:val="Heading2"/>
        <w:numPr>
          <w:ilvl w:val="1"/>
          <w:numId w:val="2"/>
        </w:numPr>
        <w:rPr>
          <w:lang w:val="en-GB"/>
        </w:rPr>
      </w:pPr>
      <w:bookmarkStart w:id="11" w:name="_Toc208824190"/>
      <w:r w:rsidRPr="00516C1F">
        <w:rPr>
          <w:lang w:val="en-GB"/>
        </w:rPr>
        <w:t xml:space="preserve">Research Participation </w:t>
      </w:r>
      <w:r w:rsidR="00335F86" w:rsidRPr="00516C1F">
        <w:rPr>
          <w:lang w:val="en-GB"/>
        </w:rPr>
        <w:t xml:space="preserve">of the Danube Region countries </w:t>
      </w:r>
      <w:r w:rsidRPr="00516C1F">
        <w:rPr>
          <w:lang w:val="en-GB"/>
        </w:rPr>
        <w:t>in Horizon Europe Projects</w:t>
      </w:r>
      <w:bookmarkEnd w:id="11"/>
    </w:p>
    <w:p w14:paraId="02968592" w14:textId="3F655FD6" w:rsidR="005E40CB" w:rsidRPr="00516C1F" w:rsidRDefault="00A46D99" w:rsidP="00E957DC">
      <w:pPr>
        <w:jc w:val="both"/>
        <w:rPr>
          <w:rFonts w:cs="Calibri"/>
          <w:lang w:val="en-GB"/>
        </w:rPr>
      </w:pPr>
      <w:r w:rsidRPr="00516C1F">
        <w:rPr>
          <w:rFonts w:cs="Calibri"/>
          <w:lang w:val="en-GB"/>
        </w:rPr>
        <w:t xml:space="preserve">Participation in Horizon Europe projects is an important indicator of research engagement and innovation capacity. This section </w:t>
      </w:r>
      <w:r w:rsidR="000B1AC5" w:rsidRPr="00516C1F">
        <w:rPr>
          <w:rFonts w:cs="Calibri"/>
          <w:lang w:val="en-GB"/>
        </w:rPr>
        <w:t>assesses</w:t>
      </w:r>
      <w:r w:rsidRPr="00516C1F">
        <w:rPr>
          <w:rFonts w:cs="Calibri"/>
          <w:lang w:val="en-GB"/>
        </w:rPr>
        <w:t xml:space="preserve"> the participation of organizations from the region in Horizon Europe </w:t>
      </w:r>
      <w:r w:rsidR="000B1AC5">
        <w:rPr>
          <w:rFonts w:cs="Calibri"/>
          <w:lang w:val="en-GB"/>
        </w:rPr>
        <w:t>Programme</w:t>
      </w:r>
      <w:r w:rsidRPr="00516C1F">
        <w:rPr>
          <w:rFonts w:cs="Calibri"/>
          <w:lang w:val="en-GB"/>
        </w:rPr>
        <w:t>, focusing on both absolute participation figures and participation per capita. By considering per capita participation, this analysis ensures fair comparisons between countries with different population sizes and provides a nuanced understanding of research dynamics.</w:t>
      </w:r>
    </w:p>
    <w:p w14:paraId="7A869BF4" w14:textId="228FED22" w:rsidR="005E40CB" w:rsidRPr="00516C1F" w:rsidRDefault="00A46D99" w:rsidP="00E957DC">
      <w:pPr>
        <w:jc w:val="both"/>
        <w:rPr>
          <w:rFonts w:cs="Calibri"/>
          <w:lang w:val="en-GB"/>
        </w:rPr>
      </w:pPr>
      <w:r w:rsidRPr="00516C1F">
        <w:rPr>
          <w:rFonts w:cs="Calibri"/>
          <w:lang w:val="en-GB"/>
        </w:rPr>
        <w:t>The analysis is based on data downloaded from the CORDIS</w:t>
      </w:r>
      <w:r w:rsidR="00390114" w:rsidRPr="00516C1F">
        <w:rPr>
          <w:rStyle w:val="FootnoteReference"/>
          <w:rFonts w:cs="Calibri"/>
          <w:lang w:val="en-GB"/>
        </w:rPr>
        <w:footnoteReference w:id="1"/>
      </w:r>
      <w:r w:rsidRPr="00516C1F">
        <w:rPr>
          <w:rFonts w:cs="Calibri"/>
          <w:lang w:val="en-GB"/>
        </w:rPr>
        <w:t xml:space="preserve"> (Community Research and Development Information Service) platform, which provides comprehensive information on Horizon Europe projects, including participants, funding and geographical distribution. The dataset was filtered to include only projects involving organizations from the countries of the Danube region. For Germany, only the regions of Bavaria and Baden-Württemberg were included, as they belong to the Danube Region.</w:t>
      </w:r>
    </w:p>
    <w:p w14:paraId="02C9530C" w14:textId="5455CDE5" w:rsidR="00C45B7B" w:rsidRPr="00516C1F" w:rsidRDefault="00A46D99" w:rsidP="005E40CB">
      <w:pPr>
        <w:jc w:val="both"/>
        <w:rPr>
          <w:rFonts w:cs="Calibri"/>
          <w:lang w:val="en-GB"/>
        </w:rPr>
      </w:pPr>
      <w:r w:rsidRPr="00516C1F">
        <w:rPr>
          <w:rFonts w:cs="Calibri"/>
          <w:lang w:val="en-GB"/>
        </w:rPr>
        <w:t xml:space="preserve">Table 2 shows the number of participations, the population size and the participation per capita for each country. </w:t>
      </w:r>
      <w:r w:rsidR="000B1AC5">
        <w:rPr>
          <w:rFonts w:cs="Calibri"/>
          <w:lang w:val="en-GB"/>
        </w:rPr>
        <w:t>It</w:t>
      </w:r>
      <w:r w:rsidRPr="00516C1F">
        <w:rPr>
          <w:rFonts w:cs="Calibri"/>
          <w:lang w:val="en-GB"/>
        </w:rPr>
        <w:t xml:space="preserve"> highlights both absolute contributions and relative performance and provides deeper insights into research engagement.</w:t>
      </w:r>
    </w:p>
    <w:p w14:paraId="19583F07" w14:textId="0BFAC4CD" w:rsidR="008C176F" w:rsidRPr="00516C1F" w:rsidRDefault="00B07509" w:rsidP="00E957DC">
      <w:pPr>
        <w:jc w:val="both"/>
        <w:rPr>
          <w:rFonts w:cs="Calibri"/>
          <w:lang w:val="en-GB"/>
        </w:rPr>
      </w:pPr>
      <w:r w:rsidRPr="00B07509">
        <w:rPr>
          <w:rFonts w:cs="Calibri"/>
          <w:b/>
          <w:bCs/>
          <w:lang w:val="en-GB"/>
        </w:rPr>
        <w:t xml:space="preserve">Slovenia leads the Danube Region with 509 participations per million inhabitants, a figure that highlights its advanced research ecosystem and strong integration into Horizon Europe programmes. </w:t>
      </w:r>
      <w:r w:rsidRPr="00B07509">
        <w:rPr>
          <w:rFonts w:cs="Calibri"/>
          <w:lang w:val="en-GB"/>
        </w:rPr>
        <w:t>Austria follows with 309 participations per million inhabitants, while Bavaria and Baden-Württemberg, representing Germany within the region, also demonstrate solid performance with 180 participations per million inhabitants</w:t>
      </w:r>
      <w:r w:rsidR="00A46D99" w:rsidRPr="00B07509">
        <w:rPr>
          <w:rFonts w:cs="Calibri"/>
          <w:lang w:val="en-GB"/>
        </w:rPr>
        <w:t>.</w:t>
      </w:r>
    </w:p>
    <w:p w14:paraId="5A1F84E6" w14:textId="45B17101" w:rsidR="008C176F" w:rsidRPr="00516C1F" w:rsidRDefault="00A46D99" w:rsidP="00E957DC">
      <w:pPr>
        <w:jc w:val="both"/>
        <w:rPr>
          <w:rFonts w:cs="Calibri"/>
          <w:lang w:val="en-GB"/>
        </w:rPr>
      </w:pPr>
      <w:r w:rsidRPr="00516C1F">
        <w:rPr>
          <w:rFonts w:cs="Calibri"/>
          <w:b/>
          <w:bCs/>
          <w:lang w:val="en-GB"/>
        </w:rPr>
        <w:t>Croatia, the Czech Republic and Bulgaria have a moderate per capita level of between 88 and 130 participations per million inhabitants</w:t>
      </w:r>
      <w:r w:rsidRPr="00516C1F">
        <w:rPr>
          <w:rFonts w:cs="Calibri"/>
          <w:lang w:val="en-GB"/>
        </w:rPr>
        <w:t xml:space="preserve">. These figures illustrate the steady progress in aligning with Horizon Europe objectives and show that these countries are strengthening their research and innovation frameworks. </w:t>
      </w:r>
    </w:p>
    <w:p w14:paraId="0A0A2991" w14:textId="4C88D20F" w:rsidR="008C176F" w:rsidRPr="00516C1F" w:rsidRDefault="00A46D99" w:rsidP="00E61AAF">
      <w:pPr>
        <w:jc w:val="both"/>
        <w:rPr>
          <w:rFonts w:cs="Calibri"/>
          <w:lang w:val="en-GB"/>
        </w:rPr>
      </w:pPr>
      <w:r w:rsidRPr="00516C1F">
        <w:rPr>
          <w:rFonts w:cs="Calibri"/>
          <w:b/>
          <w:bCs/>
          <w:lang w:val="en-GB"/>
        </w:rPr>
        <w:t>Non-EU countries</w:t>
      </w:r>
      <w:r w:rsidR="00FC0489">
        <w:rPr>
          <w:rFonts w:cs="Calibri"/>
          <w:b/>
          <w:bCs/>
          <w:lang w:val="en-GB"/>
        </w:rPr>
        <w:t>,</w:t>
      </w:r>
      <w:r w:rsidRPr="00516C1F">
        <w:rPr>
          <w:rFonts w:cs="Calibri"/>
          <w:b/>
          <w:bCs/>
          <w:lang w:val="en-GB"/>
        </w:rPr>
        <w:t xml:space="preserve"> Bosnia and Herzegovina, Moldova and Montenegro show lower participation rates, both in absolute terms and per capita.</w:t>
      </w:r>
      <w:r w:rsidRPr="00516C1F">
        <w:rPr>
          <w:rFonts w:cs="Calibri"/>
          <w:lang w:val="en-GB"/>
        </w:rPr>
        <w:t xml:space="preserve"> </w:t>
      </w:r>
      <w:r w:rsidRPr="008C1BEC">
        <w:rPr>
          <w:rFonts w:cs="Calibri"/>
          <w:b/>
          <w:bCs/>
          <w:lang w:val="en-GB"/>
        </w:rPr>
        <w:t xml:space="preserve">These figures underline limited research capacity and difficulties in accessing EU funding. </w:t>
      </w:r>
      <w:r w:rsidR="007F0F89" w:rsidRPr="008C1BEC">
        <w:rPr>
          <w:rFonts w:cs="Calibri"/>
          <w:b/>
          <w:bCs/>
          <w:lang w:val="en-GB"/>
        </w:rPr>
        <w:t>Serbia stands out as the dominant performer in this group, leading both in absolute participation numbers and per capita involvement in Horizon Europe programmes.</w:t>
      </w:r>
      <w:r w:rsidR="007F0F89" w:rsidRPr="00516C1F">
        <w:rPr>
          <w:rFonts w:cs="Calibri"/>
          <w:lang w:val="en-GB"/>
        </w:rPr>
        <w:t xml:space="preserve"> </w:t>
      </w:r>
      <w:r w:rsidRPr="00516C1F">
        <w:rPr>
          <w:rFonts w:cs="Calibri"/>
          <w:lang w:val="en-GB"/>
        </w:rPr>
        <w:t>Ukraine, with its large population, has the lowest per capita participation rate. This reflects the ongoing challenges related to political instability, economic difficulties and the impact of the conflict on the country's research and innovation capacities.</w:t>
      </w:r>
    </w:p>
    <w:p w14:paraId="13D5DDCC" w14:textId="6B208EBC" w:rsidR="00630F87" w:rsidRPr="00516C1F" w:rsidRDefault="00E957DC" w:rsidP="004146E7">
      <w:pPr>
        <w:jc w:val="both"/>
        <w:rPr>
          <w:rFonts w:cs="Calibri"/>
          <w:lang w:val="en-GB"/>
        </w:rPr>
      </w:pPr>
      <w:r w:rsidRPr="00516C1F">
        <w:rPr>
          <w:rFonts w:cs="Calibri"/>
          <w:b/>
          <w:bCs/>
          <w:lang w:val="en-GB"/>
        </w:rPr>
        <w:t>T</w:t>
      </w:r>
      <w:r w:rsidR="00630F87" w:rsidRPr="00516C1F">
        <w:rPr>
          <w:rFonts w:cs="Calibri"/>
          <w:b/>
          <w:bCs/>
          <w:lang w:val="en-GB"/>
        </w:rPr>
        <w:t>able</w:t>
      </w:r>
      <w:r w:rsidRPr="00516C1F">
        <w:rPr>
          <w:rFonts w:cs="Calibri"/>
          <w:b/>
          <w:bCs/>
          <w:lang w:val="en-GB"/>
        </w:rPr>
        <w:t xml:space="preserve"> 2</w:t>
      </w:r>
      <w:r w:rsidRPr="00516C1F">
        <w:rPr>
          <w:rFonts w:cs="Calibri"/>
          <w:lang w:val="en-GB"/>
        </w:rPr>
        <w:t xml:space="preserve">: </w:t>
      </w:r>
      <w:r w:rsidRPr="00516C1F">
        <w:rPr>
          <w:lang w:val="en-GB"/>
        </w:rPr>
        <w:t xml:space="preserve"> </w:t>
      </w:r>
      <w:r w:rsidRPr="00516C1F">
        <w:rPr>
          <w:rFonts w:cs="Calibri"/>
          <w:lang w:val="en-GB"/>
        </w:rPr>
        <w:t xml:space="preserve">Horizon Europe </w:t>
      </w:r>
      <w:r w:rsidR="00635AF4" w:rsidRPr="00516C1F">
        <w:rPr>
          <w:rFonts w:cs="Calibri"/>
          <w:lang w:val="en-GB"/>
        </w:rPr>
        <w:t>pa</w:t>
      </w:r>
      <w:r w:rsidRPr="00516C1F">
        <w:rPr>
          <w:rFonts w:cs="Calibri"/>
          <w:lang w:val="en-GB"/>
        </w:rPr>
        <w:t xml:space="preserve">rticipation </w:t>
      </w:r>
      <w:r w:rsidR="00635AF4" w:rsidRPr="00516C1F">
        <w:rPr>
          <w:rFonts w:cs="Calibri"/>
          <w:lang w:val="en-GB"/>
        </w:rPr>
        <w:t xml:space="preserve">by country </w:t>
      </w:r>
      <w:r w:rsidRPr="00516C1F">
        <w:rPr>
          <w:rFonts w:cs="Calibri"/>
          <w:lang w:val="en-GB"/>
        </w:rPr>
        <w:t>in the Danube Region</w:t>
      </w:r>
      <w:r w:rsidR="00635AF4" w:rsidRPr="00516C1F">
        <w:rPr>
          <w:rFonts w:cs="Calibri"/>
          <w:lang w:val="en-GB"/>
        </w:rPr>
        <w:t xml:space="preserve"> (2021-</w:t>
      </w:r>
      <w:r w:rsidR="0088597C" w:rsidRPr="00516C1F">
        <w:rPr>
          <w:rFonts w:cs="Calibri"/>
          <w:lang w:val="en-GB"/>
        </w:rPr>
        <w:t>2024)</w:t>
      </w:r>
    </w:p>
    <w:tbl>
      <w:tblPr>
        <w:tblStyle w:val="PlainTable3"/>
        <w:tblW w:w="0" w:type="auto"/>
        <w:tblLook w:val="04A0" w:firstRow="1" w:lastRow="0" w:firstColumn="1" w:lastColumn="0" w:noHBand="0" w:noVBand="1"/>
      </w:tblPr>
      <w:tblGrid>
        <w:gridCol w:w="988"/>
        <w:gridCol w:w="3969"/>
        <w:gridCol w:w="1559"/>
        <w:gridCol w:w="1417"/>
        <w:gridCol w:w="1417"/>
      </w:tblGrid>
      <w:tr w:rsidR="00643D65" w:rsidRPr="00736A07" w14:paraId="6C933683" w14:textId="77777777" w:rsidTr="00904005">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988" w:type="dxa"/>
            <w:tcBorders>
              <w:top w:val="single" w:sz="4" w:space="0" w:color="auto"/>
            </w:tcBorders>
            <w:noWrap/>
            <w:hideMark/>
          </w:tcPr>
          <w:p w14:paraId="31BC9062" w14:textId="6100BBBA"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C</w:t>
            </w:r>
            <w:r w:rsidR="00904005" w:rsidRPr="00736A07">
              <w:rPr>
                <w:rFonts w:eastAsia="Times New Roman" w:cs="Calibri"/>
                <w:caps w:val="0"/>
                <w:color w:val="000000"/>
                <w:kern w:val="0"/>
                <w:sz w:val="20"/>
                <w:szCs w:val="20"/>
                <w:lang w:val="en-GB"/>
                <w14:ligatures w14:val="none"/>
              </w:rPr>
              <w:t>ountry</w:t>
            </w:r>
            <w:r w:rsidRPr="00736A07">
              <w:rPr>
                <w:rFonts w:eastAsia="Times New Roman" w:cs="Calibri"/>
                <w:color w:val="000000"/>
                <w:kern w:val="0"/>
                <w:sz w:val="20"/>
                <w:szCs w:val="20"/>
                <w:lang w:val="en-GB"/>
                <w14:ligatures w14:val="none"/>
              </w:rPr>
              <w:t xml:space="preserve"> C</w:t>
            </w:r>
            <w:r w:rsidR="00904005" w:rsidRPr="00736A07">
              <w:rPr>
                <w:rFonts w:eastAsia="Times New Roman" w:cs="Calibri"/>
                <w:caps w:val="0"/>
                <w:color w:val="000000"/>
                <w:kern w:val="0"/>
                <w:sz w:val="20"/>
                <w:szCs w:val="20"/>
                <w:lang w:val="en-GB"/>
                <w14:ligatures w14:val="none"/>
              </w:rPr>
              <w:t>ode</w:t>
            </w:r>
          </w:p>
        </w:tc>
        <w:tc>
          <w:tcPr>
            <w:tcW w:w="3969" w:type="dxa"/>
            <w:tcBorders>
              <w:top w:val="single" w:sz="4" w:space="0" w:color="auto"/>
            </w:tcBorders>
            <w:noWrap/>
            <w:hideMark/>
          </w:tcPr>
          <w:p w14:paraId="29FBD71F" w14:textId="43429B82" w:rsidR="00E068F3" w:rsidRPr="00736A07" w:rsidRDefault="00E068F3" w:rsidP="00E068F3">
            <w:pPr>
              <w:cnfStyle w:val="100000000000" w:firstRow="1"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C</w:t>
            </w:r>
            <w:r w:rsidR="00904005" w:rsidRPr="00736A07">
              <w:rPr>
                <w:rFonts w:eastAsia="Times New Roman" w:cs="Calibri"/>
                <w:caps w:val="0"/>
                <w:color w:val="000000"/>
                <w:kern w:val="0"/>
                <w:sz w:val="20"/>
                <w:szCs w:val="20"/>
                <w:lang w:val="en-GB"/>
                <w14:ligatures w14:val="none"/>
              </w:rPr>
              <w:t>ountry</w:t>
            </w:r>
          </w:p>
        </w:tc>
        <w:tc>
          <w:tcPr>
            <w:tcW w:w="1559" w:type="dxa"/>
            <w:tcBorders>
              <w:top w:val="single" w:sz="4" w:space="0" w:color="auto"/>
            </w:tcBorders>
            <w:hideMark/>
          </w:tcPr>
          <w:p w14:paraId="3D7879BB" w14:textId="40582F47" w:rsidR="00E068F3" w:rsidRPr="00736A07" w:rsidRDefault="00E068F3" w:rsidP="00E068F3">
            <w:pPr>
              <w:cnfStyle w:val="100000000000" w:firstRow="1"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N</w:t>
            </w:r>
            <w:r w:rsidR="00904005" w:rsidRPr="00736A07">
              <w:rPr>
                <w:rFonts w:eastAsia="Times New Roman" w:cs="Calibri"/>
                <w:caps w:val="0"/>
                <w:color w:val="000000"/>
                <w:kern w:val="0"/>
                <w:sz w:val="20"/>
                <w:szCs w:val="20"/>
                <w:lang w:val="en-GB"/>
                <w14:ligatures w14:val="none"/>
              </w:rPr>
              <w:t>umber of participations</w:t>
            </w:r>
          </w:p>
        </w:tc>
        <w:tc>
          <w:tcPr>
            <w:tcW w:w="1417" w:type="dxa"/>
            <w:tcBorders>
              <w:top w:val="single" w:sz="4" w:space="0" w:color="auto"/>
            </w:tcBorders>
            <w:hideMark/>
          </w:tcPr>
          <w:p w14:paraId="51E2E0FC" w14:textId="2008EA14" w:rsidR="00E068F3" w:rsidRPr="00736A07" w:rsidRDefault="00E068F3" w:rsidP="00E068F3">
            <w:pPr>
              <w:cnfStyle w:val="100000000000" w:firstRow="1"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P</w:t>
            </w:r>
            <w:r w:rsidR="00904005" w:rsidRPr="00736A07">
              <w:rPr>
                <w:rFonts w:eastAsia="Times New Roman" w:cs="Calibri"/>
                <w:caps w:val="0"/>
                <w:color w:val="000000"/>
                <w:kern w:val="0"/>
                <w:sz w:val="20"/>
                <w:szCs w:val="20"/>
                <w:lang w:val="en-GB"/>
                <w14:ligatures w14:val="none"/>
              </w:rPr>
              <w:t>opulation (in millions)</w:t>
            </w:r>
          </w:p>
        </w:tc>
        <w:tc>
          <w:tcPr>
            <w:tcW w:w="1417" w:type="dxa"/>
            <w:tcBorders>
              <w:top w:val="single" w:sz="4" w:space="0" w:color="auto"/>
            </w:tcBorders>
            <w:hideMark/>
          </w:tcPr>
          <w:p w14:paraId="07DE0C86" w14:textId="2EC18801" w:rsidR="00E068F3" w:rsidRPr="00736A07" w:rsidRDefault="00F92072" w:rsidP="00E068F3">
            <w:pPr>
              <w:cnfStyle w:val="100000000000" w:firstRow="1"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P</w:t>
            </w:r>
            <w:r w:rsidR="00904005" w:rsidRPr="00736A07">
              <w:rPr>
                <w:rFonts w:eastAsia="Times New Roman" w:cs="Calibri"/>
                <w:caps w:val="0"/>
                <w:color w:val="000000"/>
                <w:kern w:val="0"/>
                <w:sz w:val="20"/>
                <w:szCs w:val="20"/>
                <w:lang w:val="en-GB"/>
                <w14:ligatures w14:val="none"/>
              </w:rPr>
              <w:t>articipation per million</w:t>
            </w:r>
            <w:r w:rsidR="0018079F" w:rsidRPr="00736A07">
              <w:rPr>
                <w:sz w:val="20"/>
                <w:szCs w:val="20"/>
                <w:lang w:val="en-GB"/>
              </w:rPr>
              <w:t xml:space="preserve"> </w:t>
            </w:r>
            <w:r w:rsidR="0018079F" w:rsidRPr="00736A07">
              <w:rPr>
                <w:rFonts w:eastAsia="Times New Roman" w:cs="Calibri"/>
                <w:caps w:val="0"/>
                <w:color w:val="000000"/>
                <w:kern w:val="0"/>
                <w:sz w:val="20"/>
                <w:szCs w:val="20"/>
                <w:lang w:val="en-GB"/>
                <w14:ligatures w14:val="none"/>
              </w:rPr>
              <w:t>inhabitants</w:t>
            </w:r>
          </w:p>
        </w:tc>
      </w:tr>
      <w:tr w:rsidR="00904005" w:rsidRPr="00736A07" w14:paraId="514945A9" w14:textId="77777777" w:rsidTr="009040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669F2484"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lastRenderedPageBreak/>
              <w:t>AT</w:t>
            </w:r>
          </w:p>
        </w:tc>
        <w:tc>
          <w:tcPr>
            <w:tcW w:w="3969" w:type="dxa"/>
            <w:noWrap/>
            <w:hideMark/>
          </w:tcPr>
          <w:p w14:paraId="0248CF92" w14:textId="77777777" w:rsidR="00E068F3" w:rsidRPr="00736A07" w:rsidRDefault="00E068F3" w:rsidP="00E068F3">
            <w:pP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Austria</w:t>
            </w:r>
          </w:p>
        </w:tc>
        <w:tc>
          <w:tcPr>
            <w:tcW w:w="1559" w:type="dxa"/>
            <w:noWrap/>
            <w:hideMark/>
          </w:tcPr>
          <w:p w14:paraId="3E4FD1EE"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2,789</w:t>
            </w:r>
          </w:p>
        </w:tc>
        <w:tc>
          <w:tcPr>
            <w:tcW w:w="1417" w:type="dxa"/>
            <w:noWrap/>
            <w:hideMark/>
          </w:tcPr>
          <w:p w14:paraId="173572A7"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9</w:t>
            </w:r>
          </w:p>
        </w:tc>
        <w:tc>
          <w:tcPr>
            <w:tcW w:w="1417" w:type="dxa"/>
            <w:noWrap/>
            <w:hideMark/>
          </w:tcPr>
          <w:p w14:paraId="787C3D51"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309.89</w:t>
            </w:r>
          </w:p>
        </w:tc>
      </w:tr>
      <w:tr w:rsidR="00904005" w:rsidRPr="00736A07" w14:paraId="50CE9699" w14:textId="77777777" w:rsidTr="00904005">
        <w:trPr>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03023A57"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BG</w:t>
            </w:r>
          </w:p>
        </w:tc>
        <w:tc>
          <w:tcPr>
            <w:tcW w:w="3969" w:type="dxa"/>
            <w:noWrap/>
            <w:hideMark/>
          </w:tcPr>
          <w:p w14:paraId="0784DC33" w14:textId="77777777" w:rsidR="00E068F3" w:rsidRPr="00736A07" w:rsidRDefault="00E068F3" w:rsidP="00E068F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Bulgaria</w:t>
            </w:r>
          </w:p>
        </w:tc>
        <w:tc>
          <w:tcPr>
            <w:tcW w:w="1559" w:type="dxa"/>
            <w:noWrap/>
            <w:hideMark/>
          </w:tcPr>
          <w:p w14:paraId="0F0033AD"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610</w:t>
            </w:r>
          </w:p>
        </w:tc>
        <w:tc>
          <w:tcPr>
            <w:tcW w:w="1417" w:type="dxa"/>
            <w:noWrap/>
            <w:hideMark/>
          </w:tcPr>
          <w:p w14:paraId="15CB1F3A"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6.9</w:t>
            </w:r>
          </w:p>
        </w:tc>
        <w:tc>
          <w:tcPr>
            <w:tcW w:w="1417" w:type="dxa"/>
            <w:noWrap/>
            <w:hideMark/>
          </w:tcPr>
          <w:p w14:paraId="2C799ED2"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88.41</w:t>
            </w:r>
          </w:p>
        </w:tc>
      </w:tr>
      <w:tr w:rsidR="00904005" w:rsidRPr="00736A07" w14:paraId="574D5A08" w14:textId="77777777" w:rsidTr="009040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20744589"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HR</w:t>
            </w:r>
          </w:p>
        </w:tc>
        <w:tc>
          <w:tcPr>
            <w:tcW w:w="3969" w:type="dxa"/>
            <w:noWrap/>
            <w:hideMark/>
          </w:tcPr>
          <w:p w14:paraId="279C61C0" w14:textId="77777777" w:rsidR="00E068F3" w:rsidRPr="00736A07" w:rsidRDefault="00E068F3" w:rsidP="00E068F3">
            <w:pP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Croatia</w:t>
            </w:r>
          </w:p>
        </w:tc>
        <w:tc>
          <w:tcPr>
            <w:tcW w:w="1559" w:type="dxa"/>
            <w:noWrap/>
            <w:hideMark/>
          </w:tcPr>
          <w:p w14:paraId="355ED971"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522</w:t>
            </w:r>
          </w:p>
        </w:tc>
        <w:tc>
          <w:tcPr>
            <w:tcW w:w="1417" w:type="dxa"/>
            <w:noWrap/>
            <w:hideMark/>
          </w:tcPr>
          <w:p w14:paraId="12C8A3F6"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4</w:t>
            </w:r>
          </w:p>
        </w:tc>
        <w:tc>
          <w:tcPr>
            <w:tcW w:w="1417" w:type="dxa"/>
            <w:noWrap/>
            <w:hideMark/>
          </w:tcPr>
          <w:p w14:paraId="3646DB07"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130.5</w:t>
            </w:r>
          </w:p>
        </w:tc>
      </w:tr>
      <w:tr w:rsidR="00904005" w:rsidRPr="00736A07" w14:paraId="39172671" w14:textId="77777777" w:rsidTr="00904005">
        <w:trPr>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4D83D17A"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CZ</w:t>
            </w:r>
          </w:p>
        </w:tc>
        <w:tc>
          <w:tcPr>
            <w:tcW w:w="3969" w:type="dxa"/>
            <w:noWrap/>
            <w:hideMark/>
          </w:tcPr>
          <w:p w14:paraId="550816BA" w14:textId="77777777" w:rsidR="00E068F3" w:rsidRPr="00736A07" w:rsidRDefault="00E068F3" w:rsidP="00E068F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Czech Republic</w:t>
            </w:r>
          </w:p>
        </w:tc>
        <w:tc>
          <w:tcPr>
            <w:tcW w:w="1559" w:type="dxa"/>
            <w:noWrap/>
            <w:hideMark/>
          </w:tcPr>
          <w:p w14:paraId="325CBC81"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1,369</w:t>
            </w:r>
          </w:p>
        </w:tc>
        <w:tc>
          <w:tcPr>
            <w:tcW w:w="1417" w:type="dxa"/>
            <w:noWrap/>
            <w:hideMark/>
          </w:tcPr>
          <w:p w14:paraId="2AB88006"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10.7</w:t>
            </w:r>
          </w:p>
        </w:tc>
        <w:tc>
          <w:tcPr>
            <w:tcW w:w="1417" w:type="dxa"/>
            <w:noWrap/>
            <w:hideMark/>
          </w:tcPr>
          <w:p w14:paraId="031433E2"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127.94</w:t>
            </w:r>
          </w:p>
        </w:tc>
      </w:tr>
      <w:tr w:rsidR="00904005" w:rsidRPr="00736A07" w14:paraId="1CD1D18F" w14:textId="77777777" w:rsidTr="009040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482A7F84"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DE</w:t>
            </w:r>
          </w:p>
        </w:tc>
        <w:tc>
          <w:tcPr>
            <w:tcW w:w="3969" w:type="dxa"/>
            <w:noWrap/>
            <w:hideMark/>
          </w:tcPr>
          <w:p w14:paraId="216AB9DB" w14:textId="00F7AA22" w:rsidR="00E068F3" w:rsidRPr="00736A07" w:rsidRDefault="00790F4C" w:rsidP="00E068F3">
            <w:pP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Germany (Bavaria &amp; Baden-Württemberg)</w:t>
            </w:r>
          </w:p>
        </w:tc>
        <w:tc>
          <w:tcPr>
            <w:tcW w:w="1559" w:type="dxa"/>
            <w:noWrap/>
            <w:hideMark/>
          </w:tcPr>
          <w:p w14:paraId="1668C44D"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4,358</w:t>
            </w:r>
          </w:p>
        </w:tc>
        <w:tc>
          <w:tcPr>
            <w:tcW w:w="1417" w:type="dxa"/>
            <w:noWrap/>
            <w:hideMark/>
          </w:tcPr>
          <w:p w14:paraId="4C3F8B39" w14:textId="1DA1E074" w:rsidR="00E068F3" w:rsidRPr="00736A07" w:rsidRDefault="00B34A87"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24</w:t>
            </w:r>
            <w:r w:rsidR="00E068F3" w:rsidRPr="00736A07">
              <w:rPr>
                <w:rFonts w:eastAsia="Times New Roman" w:cs="Calibri"/>
                <w:color w:val="000000"/>
                <w:kern w:val="0"/>
                <w:sz w:val="20"/>
                <w:szCs w:val="20"/>
                <w:lang w:val="en-GB"/>
                <w14:ligatures w14:val="none"/>
              </w:rPr>
              <w:t>.2</w:t>
            </w:r>
          </w:p>
        </w:tc>
        <w:tc>
          <w:tcPr>
            <w:tcW w:w="1417" w:type="dxa"/>
            <w:noWrap/>
            <w:hideMark/>
          </w:tcPr>
          <w:p w14:paraId="3CCCEDF6" w14:textId="46C3FD27" w:rsidR="00E068F3" w:rsidRPr="00736A07" w:rsidRDefault="00B4614B"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180</w:t>
            </w:r>
            <w:r w:rsidR="00E068F3" w:rsidRPr="00736A07">
              <w:rPr>
                <w:rFonts w:eastAsia="Times New Roman" w:cs="Calibri"/>
                <w:color w:val="000000"/>
                <w:kern w:val="0"/>
                <w:sz w:val="20"/>
                <w:szCs w:val="20"/>
                <w:lang w:val="en-GB"/>
                <w14:ligatures w14:val="none"/>
              </w:rPr>
              <w:t>.</w:t>
            </w:r>
            <w:r w:rsidRPr="00736A07">
              <w:rPr>
                <w:rFonts w:eastAsia="Times New Roman" w:cs="Calibri"/>
                <w:color w:val="000000"/>
                <w:kern w:val="0"/>
                <w:sz w:val="20"/>
                <w:szCs w:val="20"/>
                <w:lang w:val="en-GB"/>
                <w14:ligatures w14:val="none"/>
              </w:rPr>
              <w:t>08</w:t>
            </w:r>
          </w:p>
        </w:tc>
      </w:tr>
      <w:tr w:rsidR="00904005" w:rsidRPr="00736A07" w14:paraId="6106C3FB" w14:textId="77777777" w:rsidTr="00904005">
        <w:trPr>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38611099"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HU</w:t>
            </w:r>
          </w:p>
        </w:tc>
        <w:tc>
          <w:tcPr>
            <w:tcW w:w="3969" w:type="dxa"/>
            <w:noWrap/>
            <w:hideMark/>
          </w:tcPr>
          <w:p w14:paraId="7EC69984" w14:textId="77777777" w:rsidR="00E068F3" w:rsidRPr="00736A07" w:rsidRDefault="00E068F3" w:rsidP="00E068F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Hungary</w:t>
            </w:r>
          </w:p>
        </w:tc>
        <w:tc>
          <w:tcPr>
            <w:tcW w:w="1559" w:type="dxa"/>
            <w:noWrap/>
            <w:hideMark/>
          </w:tcPr>
          <w:p w14:paraId="23FC584A"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781</w:t>
            </w:r>
          </w:p>
        </w:tc>
        <w:tc>
          <w:tcPr>
            <w:tcW w:w="1417" w:type="dxa"/>
            <w:noWrap/>
            <w:hideMark/>
          </w:tcPr>
          <w:p w14:paraId="22D3C1C3"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9.6</w:t>
            </w:r>
          </w:p>
        </w:tc>
        <w:tc>
          <w:tcPr>
            <w:tcW w:w="1417" w:type="dxa"/>
            <w:noWrap/>
            <w:hideMark/>
          </w:tcPr>
          <w:p w14:paraId="30BD1621"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81.35</w:t>
            </w:r>
          </w:p>
        </w:tc>
      </w:tr>
      <w:tr w:rsidR="00904005" w:rsidRPr="00736A07" w14:paraId="744A71E6" w14:textId="77777777" w:rsidTr="009040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5B9965C6"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RO</w:t>
            </w:r>
          </w:p>
        </w:tc>
        <w:tc>
          <w:tcPr>
            <w:tcW w:w="3969" w:type="dxa"/>
            <w:noWrap/>
            <w:hideMark/>
          </w:tcPr>
          <w:p w14:paraId="26E244DB" w14:textId="77777777" w:rsidR="00E068F3" w:rsidRPr="00736A07" w:rsidRDefault="00E068F3" w:rsidP="00E068F3">
            <w:pP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Romania</w:t>
            </w:r>
          </w:p>
        </w:tc>
        <w:tc>
          <w:tcPr>
            <w:tcW w:w="1559" w:type="dxa"/>
            <w:noWrap/>
            <w:hideMark/>
          </w:tcPr>
          <w:p w14:paraId="51785CED"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1,067</w:t>
            </w:r>
          </w:p>
        </w:tc>
        <w:tc>
          <w:tcPr>
            <w:tcW w:w="1417" w:type="dxa"/>
            <w:noWrap/>
            <w:hideMark/>
          </w:tcPr>
          <w:p w14:paraId="1191C1FF"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19.1</w:t>
            </w:r>
          </w:p>
        </w:tc>
        <w:tc>
          <w:tcPr>
            <w:tcW w:w="1417" w:type="dxa"/>
            <w:noWrap/>
            <w:hideMark/>
          </w:tcPr>
          <w:p w14:paraId="1FCC1B92"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55.87</w:t>
            </w:r>
          </w:p>
        </w:tc>
      </w:tr>
      <w:tr w:rsidR="00904005" w:rsidRPr="00736A07" w14:paraId="3857CC88" w14:textId="77777777" w:rsidTr="00904005">
        <w:trPr>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670077CB"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SK</w:t>
            </w:r>
          </w:p>
        </w:tc>
        <w:tc>
          <w:tcPr>
            <w:tcW w:w="3969" w:type="dxa"/>
            <w:noWrap/>
            <w:hideMark/>
          </w:tcPr>
          <w:p w14:paraId="18008EAD" w14:textId="77777777" w:rsidR="00E068F3" w:rsidRPr="00736A07" w:rsidRDefault="00E068F3" w:rsidP="00E068F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Slovakia</w:t>
            </w:r>
          </w:p>
        </w:tc>
        <w:tc>
          <w:tcPr>
            <w:tcW w:w="1559" w:type="dxa"/>
            <w:noWrap/>
            <w:hideMark/>
          </w:tcPr>
          <w:p w14:paraId="686E33D9"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422</w:t>
            </w:r>
          </w:p>
        </w:tc>
        <w:tc>
          <w:tcPr>
            <w:tcW w:w="1417" w:type="dxa"/>
            <w:noWrap/>
            <w:hideMark/>
          </w:tcPr>
          <w:p w14:paraId="66C80417"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5.4</w:t>
            </w:r>
          </w:p>
        </w:tc>
        <w:tc>
          <w:tcPr>
            <w:tcW w:w="1417" w:type="dxa"/>
            <w:noWrap/>
            <w:hideMark/>
          </w:tcPr>
          <w:p w14:paraId="2251D4A7"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78.15</w:t>
            </w:r>
          </w:p>
        </w:tc>
      </w:tr>
      <w:tr w:rsidR="00904005" w:rsidRPr="00736A07" w14:paraId="0BABC785" w14:textId="77777777" w:rsidTr="009040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1B4E4A49"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SI</w:t>
            </w:r>
          </w:p>
        </w:tc>
        <w:tc>
          <w:tcPr>
            <w:tcW w:w="3969" w:type="dxa"/>
            <w:noWrap/>
            <w:hideMark/>
          </w:tcPr>
          <w:p w14:paraId="258493EF" w14:textId="77777777" w:rsidR="00E068F3" w:rsidRPr="00736A07" w:rsidRDefault="00E068F3" w:rsidP="00E068F3">
            <w:pP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Slovenia</w:t>
            </w:r>
          </w:p>
        </w:tc>
        <w:tc>
          <w:tcPr>
            <w:tcW w:w="1559" w:type="dxa"/>
            <w:noWrap/>
            <w:hideMark/>
          </w:tcPr>
          <w:p w14:paraId="6A2C0140"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1,069</w:t>
            </w:r>
          </w:p>
        </w:tc>
        <w:tc>
          <w:tcPr>
            <w:tcW w:w="1417" w:type="dxa"/>
            <w:noWrap/>
            <w:hideMark/>
          </w:tcPr>
          <w:p w14:paraId="3538F4C1"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2.1</w:t>
            </w:r>
          </w:p>
        </w:tc>
        <w:tc>
          <w:tcPr>
            <w:tcW w:w="1417" w:type="dxa"/>
            <w:noWrap/>
            <w:hideMark/>
          </w:tcPr>
          <w:p w14:paraId="6512574B"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509.05</w:t>
            </w:r>
          </w:p>
        </w:tc>
      </w:tr>
      <w:tr w:rsidR="00904005" w:rsidRPr="00736A07" w14:paraId="5EE5F891" w14:textId="77777777" w:rsidTr="00904005">
        <w:trPr>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5811E2AD"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BA</w:t>
            </w:r>
          </w:p>
        </w:tc>
        <w:tc>
          <w:tcPr>
            <w:tcW w:w="3969" w:type="dxa"/>
            <w:noWrap/>
            <w:hideMark/>
          </w:tcPr>
          <w:p w14:paraId="4131EAE1" w14:textId="77777777" w:rsidR="00E068F3" w:rsidRPr="00736A07" w:rsidRDefault="00E068F3" w:rsidP="00E068F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Bosnia and Herzegovina</w:t>
            </w:r>
          </w:p>
        </w:tc>
        <w:tc>
          <w:tcPr>
            <w:tcW w:w="1559" w:type="dxa"/>
            <w:noWrap/>
            <w:hideMark/>
          </w:tcPr>
          <w:p w14:paraId="330C8006"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51</w:t>
            </w:r>
          </w:p>
        </w:tc>
        <w:tc>
          <w:tcPr>
            <w:tcW w:w="1417" w:type="dxa"/>
            <w:noWrap/>
            <w:hideMark/>
          </w:tcPr>
          <w:p w14:paraId="01982832"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3.3</w:t>
            </w:r>
          </w:p>
        </w:tc>
        <w:tc>
          <w:tcPr>
            <w:tcW w:w="1417" w:type="dxa"/>
            <w:noWrap/>
            <w:hideMark/>
          </w:tcPr>
          <w:p w14:paraId="454ABA9D"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15.45</w:t>
            </w:r>
          </w:p>
        </w:tc>
      </w:tr>
      <w:tr w:rsidR="00904005" w:rsidRPr="00736A07" w14:paraId="318B3270" w14:textId="77777777" w:rsidTr="009040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377DCEAF"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MD</w:t>
            </w:r>
          </w:p>
        </w:tc>
        <w:tc>
          <w:tcPr>
            <w:tcW w:w="3969" w:type="dxa"/>
            <w:noWrap/>
            <w:hideMark/>
          </w:tcPr>
          <w:p w14:paraId="706EDAA6" w14:textId="77777777" w:rsidR="00E068F3" w:rsidRPr="00736A07" w:rsidRDefault="00E068F3" w:rsidP="00E068F3">
            <w:pP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Moldova</w:t>
            </w:r>
          </w:p>
        </w:tc>
        <w:tc>
          <w:tcPr>
            <w:tcW w:w="1559" w:type="dxa"/>
            <w:noWrap/>
            <w:hideMark/>
          </w:tcPr>
          <w:p w14:paraId="67C712A8"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66</w:t>
            </w:r>
          </w:p>
        </w:tc>
        <w:tc>
          <w:tcPr>
            <w:tcW w:w="1417" w:type="dxa"/>
            <w:noWrap/>
            <w:hideMark/>
          </w:tcPr>
          <w:p w14:paraId="5B2396B7"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2.6</w:t>
            </w:r>
          </w:p>
        </w:tc>
        <w:tc>
          <w:tcPr>
            <w:tcW w:w="1417" w:type="dxa"/>
            <w:noWrap/>
            <w:hideMark/>
          </w:tcPr>
          <w:p w14:paraId="7F59C298"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25.38</w:t>
            </w:r>
          </w:p>
        </w:tc>
      </w:tr>
      <w:tr w:rsidR="00904005" w:rsidRPr="00736A07" w14:paraId="54E04FE2" w14:textId="77777777" w:rsidTr="00904005">
        <w:trPr>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441AB7D9"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ME</w:t>
            </w:r>
          </w:p>
        </w:tc>
        <w:tc>
          <w:tcPr>
            <w:tcW w:w="3969" w:type="dxa"/>
            <w:noWrap/>
            <w:hideMark/>
          </w:tcPr>
          <w:p w14:paraId="500BCC68" w14:textId="77777777" w:rsidR="00E068F3" w:rsidRPr="00736A07" w:rsidRDefault="00E068F3" w:rsidP="00E068F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Montenegro</w:t>
            </w:r>
          </w:p>
        </w:tc>
        <w:tc>
          <w:tcPr>
            <w:tcW w:w="1559" w:type="dxa"/>
            <w:noWrap/>
            <w:hideMark/>
          </w:tcPr>
          <w:p w14:paraId="6FADA40B"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32</w:t>
            </w:r>
          </w:p>
        </w:tc>
        <w:tc>
          <w:tcPr>
            <w:tcW w:w="1417" w:type="dxa"/>
            <w:noWrap/>
            <w:hideMark/>
          </w:tcPr>
          <w:p w14:paraId="737B3A45"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0.6</w:t>
            </w:r>
          </w:p>
        </w:tc>
        <w:tc>
          <w:tcPr>
            <w:tcW w:w="1417" w:type="dxa"/>
            <w:noWrap/>
            <w:hideMark/>
          </w:tcPr>
          <w:p w14:paraId="59776812"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53.33</w:t>
            </w:r>
          </w:p>
        </w:tc>
      </w:tr>
      <w:tr w:rsidR="00904005" w:rsidRPr="00736A07" w14:paraId="03D20C9B" w14:textId="77777777" w:rsidTr="009040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3C6566AC"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RS</w:t>
            </w:r>
          </w:p>
        </w:tc>
        <w:tc>
          <w:tcPr>
            <w:tcW w:w="3969" w:type="dxa"/>
            <w:noWrap/>
            <w:hideMark/>
          </w:tcPr>
          <w:p w14:paraId="19209899" w14:textId="77777777" w:rsidR="00E068F3" w:rsidRPr="00736A07" w:rsidRDefault="00E068F3" w:rsidP="00E068F3">
            <w:pP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Serbia</w:t>
            </w:r>
          </w:p>
        </w:tc>
        <w:tc>
          <w:tcPr>
            <w:tcW w:w="1559" w:type="dxa"/>
            <w:noWrap/>
            <w:hideMark/>
          </w:tcPr>
          <w:p w14:paraId="128ADD55"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455</w:t>
            </w:r>
          </w:p>
        </w:tc>
        <w:tc>
          <w:tcPr>
            <w:tcW w:w="1417" w:type="dxa"/>
            <w:noWrap/>
            <w:hideMark/>
          </w:tcPr>
          <w:p w14:paraId="7459BEBF"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6.8</w:t>
            </w:r>
          </w:p>
        </w:tc>
        <w:tc>
          <w:tcPr>
            <w:tcW w:w="1417" w:type="dxa"/>
            <w:noWrap/>
            <w:hideMark/>
          </w:tcPr>
          <w:p w14:paraId="31F7A06C" w14:textId="77777777" w:rsidR="00E068F3" w:rsidRPr="00736A07" w:rsidRDefault="00E068F3" w:rsidP="009040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66.91</w:t>
            </w:r>
          </w:p>
        </w:tc>
      </w:tr>
      <w:tr w:rsidR="00904005" w:rsidRPr="00736A07" w14:paraId="14CD2048" w14:textId="77777777" w:rsidTr="00904005">
        <w:trPr>
          <w:trHeight w:val="288"/>
        </w:trPr>
        <w:tc>
          <w:tcPr>
            <w:cnfStyle w:val="001000000000" w:firstRow="0" w:lastRow="0" w:firstColumn="1" w:lastColumn="0" w:oddVBand="0" w:evenVBand="0" w:oddHBand="0" w:evenHBand="0" w:firstRowFirstColumn="0" w:firstRowLastColumn="0" w:lastRowFirstColumn="0" w:lastRowLastColumn="0"/>
            <w:tcW w:w="988" w:type="dxa"/>
            <w:tcBorders>
              <w:bottom w:val="single" w:sz="4" w:space="0" w:color="auto"/>
            </w:tcBorders>
            <w:noWrap/>
            <w:hideMark/>
          </w:tcPr>
          <w:p w14:paraId="2C3A40B8" w14:textId="77777777" w:rsidR="00E068F3" w:rsidRPr="00736A07" w:rsidRDefault="00E068F3" w:rsidP="00E068F3">
            <w:pPr>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UA</w:t>
            </w:r>
          </w:p>
        </w:tc>
        <w:tc>
          <w:tcPr>
            <w:tcW w:w="3969" w:type="dxa"/>
            <w:tcBorders>
              <w:bottom w:val="single" w:sz="4" w:space="0" w:color="auto"/>
            </w:tcBorders>
            <w:noWrap/>
            <w:hideMark/>
          </w:tcPr>
          <w:p w14:paraId="51D1A557" w14:textId="77777777" w:rsidR="00E068F3" w:rsidRPr="00736A07" w:rsidRDefault="00E068F3" w:rsidP="00E068F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Ukraine</w:t>
            </w:r>
          </w:p>
        </w:tc>
        <w:tc>
          <w:tcPr>
            <w:tcW w:w="1559" w:type="dxa"/>
            <w:tcBorders>
              <w:bottom w:val="single" w:sz="4" w:space="0" w:color="auto"/>
            </w:tcBorders>
            <w:noWrap/>
            <w:hideMark/>
          </w:tcPr>
          <w:p w14:paraId="72C0D3EB"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333</w:t>
            </w:r>
          </w:p>
        </w:tc>
        <w:tc>
          <w:tcPr>
            <w:tcW w:w="1417" w:type="dxa"/>
            <w:tcBorders>
              <w:bottom w:val="single" w:sz="4" w:space="0" w:color="auto"/>
            </w:tcBorders>
            <w:noWrap/>
            <w:hideMark/>
          </w:tcPr>
          <w:p w14:paraId="6A8ECBFD"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41.2</w:t>
            </w:r>
          </w:p>
        </w:tc>
        <w:tc>
          <w:tcPr>
            <w:tcW w:w="1417" w:type="dxa"/>
            <w:tcBorders>
              <w:bottom w:val="single" w:sz="4" w:space="0" w:color="auto"/>
            </w:tcBorders>
            <w:noWrap/>
            <w:hideMark/>
          </w:tcPr>
          <w:p w14:paraId="03349F3A" w14:textId="77777777" w:rsidR="00E068F3" w:rsidRPr="00736A07" w:rsidRDefault="00E068F3" w:rsidP="009040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val="en-GB"/>
                <w14:ligatures w14:val="none"/>
              </w:rPr>
            </w:pPr>
            <w:r w:rsidRPr="00736A07">
              <w:rPr>
                <w:rFonts w:eastAsia="Times New Roman" w:cs="Calibri"/>
                <w:color w:val="000000"/>
                <w:kern w:val="0"/>
                <w:sz w:val="20"/>
                <w:szCs w:val="20"/>
                <w:lang w:val="en-GB"/>
                <w14:ligatures w14:val="none"/>
              </w:rPr>
              <w:t>8.08</w:t>
            </w:r>
          </w:p>
        </w:tc>
      </w:tr>
    </w:tbl>
    <w:p w14:paraId="6FA758F3" w14:textId="3A87604D" w:rsidR="008C176F" w:rsidRPr="007A2915" w:rsidRDefault="00335F86" w:rsidP="00653374">
      <w:pPr>
        <w:jc w:val="both"/>
        <w:rPr>
          <w:rFonts w:cs="Calibri"/>
          <w:sz w:val="18"/>
          <w:szCs w:val="18"/>
          <w:lang w:val="en-GB"/>
        </w:rPr>
      </w:pPr>
      <w:r w:rsidRPr="007A2915">
        <w:rPr>
          <w:rFonts w:cs="Calibri"/>
          <w:sz w:val="18"/>
          <w:szCs w:val="18"/>
          <w:lang w:val="en-GB"/>
        </w:rPr>
        <w:t>Source: CORDIS and Eurostat database</w:t>
      </w:r>
    </w:p>
    <w:p w14:paraId="14551D3C" w14:textId="77777777" w:rsidR="00335F86" w:rsidRPr="00516C1F" w:rsidRDefault="00335F86" w:rsidP="00653374">
      <w:pPr>
        <w:jc w:val="both"/>
        <w:rPr>
          <w:rFonts w:cs="Calibri"/>
          <w:sz w:val="20"/>
          <w:szCs w:val="20"/>
          <w:lang w:val="en-GB"/>
        </w:rPr>
      </w:pPr>
    </w:p>
    <w:p w14:paraId="601532FF" w14:textId="2BC0CC65" w:rsidR="007379C9" w:rsidRPr="00516C1F" w:rsidRDefault="00EB1449" w:rsidP="00B81BFC">
      <w:pPr>
        <w:pStyle w:val="Heading2"/>
        <w:numPr>
          <w:ilvl w:val="1"/>
          <w:numId w:val="2"/>
        </w:numPr>
        <w:rPr>
          <w:lang w:val="en-GB"/>
        </w:rPr>
      </w:pPr>
      <w:bookmarkStart w:id="12" w:name="_Toc208824191"/>
      <w:r w:rsidRPr="00EB1449">
        <w:rPr>
          <w:lang w:val="en-GB"/>
        </w:rPr>
        <w:t>Key research sub-fields in the Danube Region: focus on top S3 priorities</w:t>
      </w:r>
      <w:bookmarkEnd w:id="12"/>
    </w:p>
    <w:p w14:paraId="132B4456" w14:textId="7A5733AF" w:rsidR="00D81083" w:rsidRPr="00516C1F" w:rsidRDefault="0019225F" w:rsidP="008E0F24">
      <w:pPr>
        <w:jc w:val="both"/>
        <w:rPr>
          <w:rFonts w:cs="Calibri"/>
          <w:lang w:val="en-GB"/>
        </w:rPr>
      </w:pPr>
      <w:r>
        <w:rPr>
          <w:rFonts w:cs="Calibri"/>
          <w:lang w:val="en-GB"/>
        </w:rPr>
        <w:t>This section examines the most important areas of research in the three most common sub-fields: Agri- Food, Bioeconomy &amp; Biotechnology, ICT and Digitalisation and Climate and Energy, highlighting their importance and relevance to the regional and global innovation agenda. These three areas have emerged as the most prominent S3 focus areas in the Danube Region and reflect the strategic focus of the region. Understanding the research landscape in these areas provides insights into regional strengths, opportunities for collaboration and potential policy measures to further support innovation.</w:t>
      </w:r>
    </w:p>
    <w:p w14:paraId="67A8E73D" w14:textId="74ECCFA6" w:rsidR="00D81083" w:rsidRPr="00516C1F" w:rsidRDefault="00D81083" w:rsidP="00D81083">
      <w:pPr>
        <w:jc w:val="both"/>
        <w:rPr>
          <w:rFonts w:cs="Calibri"/>
          <w:i/>
          <w:iCs/>
          <w:u w:val="single"/>
          <w:lang w:val="en-GB"/>
        </w:rPr>
      </w:pPr>
      <w:r w:rsidRPr="00516C1F">
        <w:rPr>
          <w:rFonts w:cs="Calibri"/>
          <w:i/>
          <w:iCs/>
          <w:u w:val="single"/>
          <w:lang w:val="en-GB"/>
        </w:rPr>
        <w:t xml:space="preserve">Research sub-areas in </w:t>
      </w:r>
      <w:bookmarkStart w:id="13" w:name="_Hlk208565377"/>
      <w:r w:rsidR="00152853" w:rsidRPr="00516C1F">
        <w:rPr>
          <w:rFonts w:cs="Calibri"/>
          <w:i/>
          <w:iCs/>
          <w:u w:val="single"/>
          <w:lang w:val="en-GB"/>
        </w:rPr>
        <w:t>Agri-Food, Bioeconomy &amp; Biotechnology</w:t>
      </w:r>
      <w:bookmarkEnd w:id="13"/>
    </w:p>
    <w:p w14:paraId="2588F01A" w14:textId="509E8800" w:rsidR="002F3D87" w:rsidRPr="00516C1F" w:rsidRDefault="00F919C7" w:rsidP="008E0F24">
      <w:pPr>
        <w:jc w:val="both"/>
        <w:rPr>
          <w:rFonts w:cs="Calibri"/>
          <w:lang w:val="en-GB"/>
        </w:rPr>
      </w:pPr>
      <w:r>
        <w:rPr>
          <w:rFonts w:cs="Calibri"/>
          <w:lang w:val="en-GB"/>
        </w:rPr>
        <w:t>Horizon Europe project activities in the Danube Region reveal a strong and sustained focus on Agri-Food, Bioeconomy &amp; Biotechnology. This focus shows the region’s commitment to developing knowledge and solutions that make food systems more resilient, resource-efficient, and innovation-ready. This area is important because it combines food production, rural livelihoods and the sustainable use of biological resources with practical objectives such as improving plant and animal health, adding value to biomass, improving the safety and efficiency of supply chains and reducing waste and emissions.</w:t>
      </w:r>
    </w:p>
    <w:p w14:paraId="0F8FD89D" w14:textId="40BBF770" w:rsidR="00D81083" w:rsidRPr="00516C1F" w:rsidRDefault="00CE428A" w:rsidP="002F3D87">
      <w:pPr>
        <w:jc w:val="both"/>
        <w:rPr>
          <w:rFonts w:cs="Calibri"/>
          <w:lang w:val="en-GB"/>
        </w:rPr>
      </w:pPr>
      <w:r w:rsidRPr="00CE428A">
        <w:rPr>
          <w:rFonts w:cs="Calibri"/>
          <w:lang w:val="en-GB"/>
        </w:rPr>
        <w:t xml:space="preserve">The Danube Region places strong emphasis on understanding and managing natural systems as a foundation for bioeconomy development, with ecosystems emerging as the most common research </w:t>
      </w:r>
      <w:r w:rsidR="00B138BD">
        <w:rPr>
          <w:rFonts w:cs="Calibri"/>
          <w:lang w:val="en-GB"/>
        </w:rPr>
        <w:t>sub-area</w:t>
      </w:r>
      <w:r w:rsidRPr="00CE428A">
        <w:rPr>
          <w:rFonts w:cs="Calibri"/>
          <w:lang w:val="en-GB"/>
        </w:rPr>
        <w:t xml:space="preserve"> among approved projects (Figure </w:t>
      </w:r>
      <w:r w:rsidR="005738DC">
        <w:rPr>
          <w:rFonts w:cs="Calibri"/>
          <w:lang w:val="en-GB"/>
        </w:rPr>
        <w:t>2</w:t>
      </w:r>
      <w:r w:rsidRPr="00CE428A">
        <w:rPr>
          <w:rFonts w:cs="Calibri"/>
          <w:lang w:val="en-GB"/>
        </w:rPr>
        <w:t>)</w:t>
      </w:r>
      <w:r w:rsidR="002F3D87" w:rsidRPr="00516C1F">
        <w:rPr>
          <w:rFonts w:cs="Calibri"/>
          <w:lang w:val="en-GB"/>
        </w:rPr>
        <w:t xml:space="preserve">. </w:t>
      </w:r>
      <w:r w:rsidR="007963FD" w:rsidRPr="007963FD">
        <w:rPr>
          <w:rFonts w:cs="Calibri"/>
          <w:lang w:val="en-GB"/>
        </w:rPr>
        <w:t xml:space="preserve">Beyond ecosystems, research also extends across key molecular biosciences such as proteins, genetics, and DNA, which provide the scientific base for new breeding methods, diagnostics, and bioprocessing technologies. Fields related to biosecurity and food safety, including virology, bacteriology, and mycology, show the importance of protecting plant, animal, and human health along the food chain. At the same time, areas linked to the blue bioeconomy (marine and freshwater biology) and to sustainable agriculture highlight the region’s potential to diversify biomass sources and connect innovation directly to primary production. Cross-cutting enablers like recycling and synthetic biology reflect the growing shift towards circularity and bio-based innovation. Taken together, this portfolio reveals a comprehensive approach: integrating ecosystem intelligence, molecular science, </w:t>
      </w:r>
      <w:r w:rsidR="007963FD" w:rsidRPr="007963FD">
        <w:rPr>
          <w:rFonts w:cs="Calibri"/>
          <w:lang w:val="en-GB"/>
        </w:rPr>
        <w:lastRenderedPageBreak/>
        <w:t>and circular resource use to deliver practical solutions for food security, health, and sustainability in line with European bioeconomy objectives</w:t>
      </w:r>
      <w:r w:rsidR="00D81083" w:rsidRPr="00516C1F">
        <w:rPr>
          <w:rFonts w:cs="Calibri"/>
          <w:lang w:val="en-GB"/>
        </w:rPr>
        <w:t>.</w:t>
      </w:r>
    </w:p>
    <w:p w14:paraId="56CA4C7E" w14:textId="6FF8138D" w:rsidR="00A51986" w:rsidRPr="00516C1F" w:rsidRDefault="00FD5854" w:rsidP="00FD5854">
      <w:pPr>
        <w:rPr>
          <w:rFonts w:cs="Calibri"/>
          <w:lang w:val="en-GB"/>
        </w:rPr>
      </w:pPr>
      <w:r w:rsidRPr="00516C1F">
        <w:rPr>
          <w:rFonts w:cs="Calibri"/>
          <w:b/>
          <w:bCs/>
          <w:lang w:val="en-GB"/>
        </w:rPr>
        <w:t xml:space="preserve">Figure </w:t>
      </w:r>
      <w:r w:rsidR="005738DC">
        <w:rPr>
          <w:rFonts w:cs="Calibri"/>
          <w:b/>
          <w:bCs/>
          <w:lang w:val="en-GB"/>
        </w:rPr>
        <w:t>2</w:t>
      </w:r>
      <w:r w:rsidRPr="00516C1F">
        <w:rPr>
          <w:rFonts w:cs="Calibri"/>
          <w:lang w:val="en-GB"/>
        </w:rPr>
        <w:t>: Number of projects per Agri-Food, Bioeconomy &amp; Biotechnology sub-areas with participation of Danube Region countries (Horizon Europe 2021-2024)</w:t>
      </w:r>
    </w:p>
    <w:p w14:paraId="616710CA" w14:textId="2351525A" w:rsidR="00A51986" w:rsidRPr="00516C1F" w:rsidRDefault="00FD5854" w:rsidP="005738DC">
      <w:pPr>
        <w:spacing w:after="0"/>
        <w:jc w:val="both"/>
        <w:rPr>
          <w:rFonts w:cs="Calibri"/>
          <w:lang w:val="en-GB"/>
        </w:rPr>
      </w:pPr>
      <w:r w:rsidRPr="00516C1F">
        <w:rPr>
          <w:rFonts w:cs="Calibri"/>
          <w:noProof/>
          <w:lang w:val="en-GB"/>
        </w:rPr>
        <w:drawing>
          <wp:inline distT="0" distB="0" distL="0" distR="0" wp14:anchorId="351DE32D" wp14:editId="1B2631CD">
            <wp:extent cx="5840730" cy="3359150"/>
            <wp:effectExtent l="0" t="0" r="7620" b="0"/>
            <wp:docPr id="11790430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730" cy="3359150"/>
                    </a:xfrm>
                    <a:prstGeom prst="rect">
                      <a:avLst/>
                    </a:prstGeom>
                    <a:noFill/>
                  </pic:spPr>
                </pic:pic>
              </a:graphicData>
            </a:graphic>
          </wp:inline>
        </w:drawing>
      </w:r>
    </w:p>
    <w:p w14:paraId="60FE3069" w14:textId="64B9BD80" w:rsidR="00A51986" w:rsidRDefault="00B341C9" w:rsidP="008E0F24">
      <w:pPr>
        <w:jc w:val="both"/>
        <w:rPr>
          <w:rFonts w:cs="Calibri"/>
          <w:sz w:val="18"/>
          <w:szCs w:val="18"/>
          <w:lang w:val="en-GB"/>
        </w:rPr>
      </w:pPr>
      <w:r w:rsidRPr="007A2915">
        <w:rPr>
          <w:rFonts w:cs="Calibri"/>
          <w:sz w:val="18"/>
          <w:szCs w:val="18"/>
          <w:lang w:val="en-GB"/>
        </w:rPr>
        <w:t>Source: Author’s calculation based on the CORDIS database</w:t>
      </w:r>
    </w:p>
    <w:p w14:paraId="27084220" w14:textId="77777777" w:rsidR="007A2915" w:rsidRPr="007A2915" w:rsidRDefault="007A2915" w:rsidP="008E0F24">
      <w:pPr>
        <w:jc w:val="both"/>
        <w:rPr>
          <w:rFonts w:cs="Calibri"/>
          <w:sz w:val="18"/>
          <w:szCs w:val="18"/>
          <w:lang w:val="en-GB"/>
        </w:rPr>
      </w:pPr>
    </w:p>
    <w:p w14:paraId="3A0014B3" w14:textId="36B0A3EE" w:rsidR="007379C9" w:rsidRPr="00516C1F" w:rsidRDefault="007379C9" w:rsidP="00CF2FE2">
      <w:pPr>
        <w:jc w:val="both"/>
        <w:rPr>
          <w:rFonts w:cs="Calibri"/>
          <w:i/>
          <w:iCs/>
          <w:u w:val="single"/>
          <w:lang w:val="en-GB"/>
        </w:rPr>
      </w:pPr>
      <w:r w:rsidRPr="00516C1F">
        <w:rPr>
          <w:rFonts w:cs="Calibri"/>
          <w:i/>
          <w:iCs/>
          <w:u w:val="single"/>
          <w:lang w:val="en-GB"/>
        </w:rPr>
        <w:t xml:space="preserve">Research </w:t>
      </w:r>
      <w:r w:rsidR="00C2229A" w:rsidRPr="00516C1F">
        <w:rPr>
          <w:rFonts w:cs="Calibri"/>
          <w:i/>
          <w:iCs/>
          <w:u w:val="single"/>
          <w:lang w:val="en-GB"/>
        </w:rPr>
        <w:t xml:space="preserve">sub-areas </w:t>
      </w:r>
      <w:r w:rsidRPr="00516C1F">
        <w:rPr>
          <w:rFonts w:cs="Calibri"/>
          <w:i/>
          <w:iCs/>
          <w:u w:val="single"/>
          <w:lang w:val="en-GB"/>
        </w:rPr>
        <w:t>in ICT</w:t>
      </w:r>
      <w:r w:rsidR="00CA3757" w:rsidRPr="00516C1F">
        <w:rPr>
          <w:rFonts w:cs="Calibri"/>
          <w:i/>
          <w:iCs/>
          <w:u w:val="single"/>
          <w:lang w:val="en-GB"/>
        </w:rPr>
        <w:t xml:space="preserve"> and Digitalisation</w:t>
      </w:r>
    </w:p>
    <w:p w14:paraId="58C9D088" w14:textId="2A0CA04A" w:rsidR="00CF2FE2" w:rsidRDefault="00F034B6" w:rsidP="0041228E">
      <w:pPr>
        <w:jc w:val="both"/>
        <w:rPr>
          <w:rFonts w:cs="Calibri"/>
          <w:lang w:val="en-GB"/>
        </w:rPr>
      </w:pPr>
      <w:r w:rsidRPr="00F034B6">
        <w:rPr>
          <w:rFonts w:cs="Calibri"/>
          <w:lang w:val="en-GB"/>
        </w:rPr>
        <w:t xml:space="preserve">As one of the most prioritised fields, the ICT sector underpins the Danube Region’s transition to a digital economy and supports the emergence of new business models. Project participation data highlight the key ICT and Digitalisation research sub-areas funded under Horizon Europe (Figure </w:t>
      </w:r>
      <w:r w:rsidR="005738DC">
        <w:rPr>
          <w:rFonts w:cs="Calibri"/>
          <w:lang w:val="en-GB"/>
        </w:rPr>
        <w:t>3</w:t>
      </w:r>
      <w:r w:rsidRPr="00F034B6">
        <w:rPr>
          <w:rFonts w:cs="Calibri"/>
          <w:lang w:val="en-GB"/>
        </w:rPr>
        <w:t>). Software development dominates with 476 projects, reflecting strong regional expertise in software engineering, application development, and digital innovation. Artificial intelligence follows with 401 projects, confirming the growing role of AI in shaping competitiveness and technological upgrading. The Internet of Things (272 projects) ranks third, underscoring the region’s commitment to advancing connectivity and automation as foundations for smart cities and Industry 4.0.</w:t>
      </w:r>
    </w:p>
    <w:p w14:paraId="09D6F9F1" w14:textId="77777777" w:rsidR="007A2915" w:rsidRDefault="007A2915" w:rsidP="0041228E">
      <w:pPr>
        <w:jc w:val="both"/>
        <w:rPr>
          <w:rFonts w:cs="Calibri"/>
          <w:lang w:val="en-GB"/>
        </w:rPr>
      </w:pPr>
    </w:p>
    <w:p w14:paraId="73348EC6" w14:textId="77777777" w:rsidR="007A2915" w:rsidRDefault="007A2915" w:rsidP="0041228E">
      <w:pPr>
        <w:jc w:val="both"/>
        <w:rPr>
          <w:rFonts w:cs="Calibri"/>
          <w:lang w:val="en-GB"/>
        </w:rPr>
      </w:pPr>
    </w:p>
    <w:p w14:paraId="7EA61D10" w14:textId="77777777" w:rsidR="007A2915" w:rsidRDefault="007A2915" w:rsidP="0041228E">
      <w:pPr>
        <w:jc w:val="both"/>
        <w:rPr>
          <w:rFonts w:cs="Calibri"/>
          <w:lang w:val="en-GB"/>
        </w:rPr>
      </w:pPr>
    </w:p>
    <w:p w14:paraId="711D8CEC" w14:textId="77777777" w:rsidR="007A2915" w:rsidRDefault="007A2915" w:rsidP="0041228E">
      <w:pPr>
        <w:jc w:val="both"/>
        <w:rPr>
          <w:rFonts w:cs="Calibri"/>
          <w:lang w:val="en-GB"/>
        </w:rPr>
      </w:pPr>
    </w:p>
    <w:p w14:paraId="3C67B1CC" w14:textId="77777777" w:rsidR="007A2915" w:rsidRPr="00516C1F" w:rsidRDefault="007A2915" w:rsidP="0041228E">
      <w:pPr>
        <w:jc w:val="both"/>
        <w:rPr>
          <w:rFonts w:cs="Calibri"/>
          <w:lang w:val="en-GB"/>
        </w:rPr>
      </w:pPr>
    </w:p>
    <w:p w14:paraId="7AC4F3C8" w14:textId="39D5D8C3" w:rsidR="00653374" w:rsidRPr="00516C1F" w:rsidRDefault="00653374" w:rsidP="002C559B">
      <w:pPr>
        <w:rPr>
          <w:rFonts w:cs="Calibri"/>
          <w:lang w:val="en-GB"/>
        </w:rPr>
      </w:pPr>
      <w:r w:rsidRPr="00516C1F">
        <w:rPr>
          <w:rFonts w:cs="Calibri"/>
          <w:b/>
          <w:bCs/>
          <w:lang w:val="en-GB"/>
        </w:rPr>
        <w:lastRenderedPageBreak/>
        <w:t xml:space="preserve">Figure </w:t>
      </w:r>
      <w:r w:rsidR="005738DC">
        <w:rPr>
          <w:rFonts w:cs="Calibri"/>
          <w:b/>
          <w:bCs/>
          <w:lang w:val="en-GB"/>
        </w:rPr>
        <w:t>3</w:t>
      </w:r>
      <w:r w:rsidR="002C559B" w:rsidRPr="00516C1F">
        <w:rPr>
          <w:rFonts w:cs="Calibri"/>
          <w:lang w:val="en-GB"/>
        </w:rPr>
        <w:t xml:space="preserve">: </w:t>
      </w:r>
      <w:bookmarkStart w:id="14" w:name="_Hlk190190674"/>
      <w:r w:rsidR="000A22B6" w:rsidRPr="00516C1F">
        <w:rPr>
          <w:rFonts w:cs="Calibri"/>
          <w:lang w:val="en-GB"/>
        </w:rPr>
        <w:t>Number of projects</w:t>
      </w:r>
      <w:r w:rsidR="00BE065A" w:rsidRPr="00516C1F">
        <w:rPr>
          <w:rFonts w:cs="Calibri"/>
          <w:lang w:val="en-GB"/>
        </w:rPr>
        <w:t xml:space="preserve"> per</w:t>
      </w:r>
      <w:r w:rsidR="002C559B" w:rsidRPr="00516C1F">
        <w:rPr>
          <w:rFonts w:cs="Calibri"/>
          <w:lang w:val="en-GB"/>
        </w:rPr>
        <w:t xml:space="preserve"> ICT </w:t>
      </w:r>
      <w:r w:rsidR="00897ED2" w:rsidRPr="00516C1F">
        <w:rPr>
          <w:rFonts w:cs="Calibri"/>
          <w:lang w:val="en-GB"/>
        </w:rPr>
        <w:t xml:space="preserve">and Digitalisation </w:t>
      </w:r>
      <w:r w:rsidR="00C2229A" w:rsidRPr="00516C1F">
        <w:rPr>
          <w:rFonts w:cs="Calibri"/>
          <w:lang w:val="en-GB"/>
        </w:rPr>
        <w:t xml:space="preserve">sub-areas </w:t>
      </w:r>
      <w:r w:rsidR="00BE065A" w:rsidRPr="00516C1F">
        <w:rPr>
          <w:rFonts w:cs="Calibri"/>
          <w:lang w:val="en-GB"/>
        </w:rPr>
        <w:t>with participation of</w:t>
      </w:r>
      <w:r w:rsidR="002C559B" w:rsidRPr="00516C1F">
        <w:rPr>
          <w:rFonts w:cs="Calibri"/>
          <w:lang w:val="en-GB"/>
        </w:rPr>
        <w:t xml:space="preserve"> Danube Region </w:t>
      </w:r>
      <w:r w:rsidR="00BE065A" w:rsidRPr="00516C1F">
        <w:rPr>
          <w:rFonts w:cs="Calibri"/>
          <w:lang w:val="en-GB"/>
        </w:rPr>
        <w:t xml:space="preserve">countries </w:t>
      </w:r>
      <w:r w:rsidR="002C559B" w:rsidRPr="00516C1F">
        <w:rPr>
          <w:rFonts w:cs="Calibri"/>
          <w:lang w:val="en-GB"/>
        </w:rPr>
        <w:t>(Horizon Europe</w:t>
      </w:r>
      <w:r w:rsidR="00BE065A" w:rsidRPr="00516C1F">
        <w:rPr>
          <w:rFonts w:cs="Calibri"/>
          <w:lang w:val="en-GB"/>
        </w:rPr>
        <w:t xml:space="preserve"> 2021-2024</w:t>
      </w:r>
      <w:r w:rsidR="002C559B" w:rsidRPr="00516C1F">
        <w:rPr>
          <w:rFonts w:cs="Calibri"/>
          <w:lang w:val="en-GB"/>
        </w:rPr>
        <w:t>)</w:t>
      </w:r>
      <w:bookmarkEnd w:id="14"/>
    </w:p>
    <w:p w14:paraId="1BA89D52" w14:textId="4C837DCA" w:rsidR="00E870FB" w:rsidRPr="00516C1F" w:rsidRDefault="00E870FB" w:rsidP="005738DC">
      <w:pPr>
        <w:spacing w:after="0"/>
        <w:rPr>
          <w:rFonts w:cs="Calibri"/>
          <w:lang w:val="en-GB"/>
        </w:rPr>
      </w:pPr>
      <w:r w:rsidRPr="00516C1F">
        <w:rPr>
          <w:rFonts w:cs="Calibri"/>
          <w:noProof/>
          <w:lang w:val="en-GB"/>
        </w:rPr>
        <w:drawing>
          <wp:inline distT="0" distB="0" distL="0" distR="0" wp14:anchorId="02C78417" wp14:editId="048DBC75">
            <wp:extent cx="5956300" cy="2877820"/>
            <wp:effectExtent l="0" t="0" r="6350" b="0"/>
            <wp:docPr id="10261029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2877820"/>
                    </a:xfrm>
                    <a:prstGeom prst="rect">
                      <a:avLst/>
                    </a:prstGeom>
                    <a:noFill/>
                  </pic:spPr>
                </pic:pic>
              </a:graphicData>
            </a:graphic>
          </wp:inline>
        </w:drawing>
      </w:r>
    </w:p>
    <w:p w14:paraId="60FE8A5B" w14:textId="77777777" w:rsidR="005738DC" w:rsidRPr="007A2915" w:rsidRDefault="005738DC" w:rsidP="005738DC">
      <w:pPr>
        <w:jc w:val="both"/>
        <w:rPr>
          <w:rFonts w:cs="Calibri"/>
          <w:sz w:val="18"/>
          <w:szCs w:val="18"/>
          <w:lang w:val="en-GB"/>
        </w:rPr>
      </w:pPr>
      <w:r w:rsidRPr="007A2915">
        <w:rPr>
          <w:rFonts w:cs="Calibri"/>
          <w:sz w:val="18"/>
          <w:szCs w:val="18"/>
          <w:lang w:val="en-GB"/>
        </w:rPr>
        <w:t>Source: Author’s calculation based on the CORDIS database</w:t>
      </w:r>
    </w:p>
    <w:p w14:paraId="04FF02BC" w14:textId="6B7D8B71" w:rsidR="00C939FE" w:rsidRPr="00516C1F" w:rsidRDefault="00C939FE" w:rsidP="002C559B">
      <w:pPr>
        <w:rPr>
          <w:rFonts w:cs="Calibri"/>
          <w:lang w:val="en-GB"/>
        </w:rPr>
      </w:pPr>
    </w:p>
    <w:p w14:paraId="70CCEAC0" w14:textId="4583888E" w:rsidR="005161A9" w:rsidRPr="00516C1F" w:rsidRDefault="0048014F" w:rsidP="0048014F">
      <w:pPr>
        <w:rPr>
          <w:i/>
          <w:iCs/>
          <w:u w:val="single"/>
          <w:lang w:val="en-GB"/>
        </w:rPr>
      </w:pPr>
      <w:r w:rsidRPr="00516C1F">
        <w:rPr>
          <w:i/>
          <w:iCs/>
          <w:u w:val="single"/>
          <w:lang w:val="en-GB"/>
        </w:rPr>
        <w:t>Research sub-</w:t>
      </w:r>
      <w:r w:rsidR="00C2229A" w:rsidRPr="00516C1F">
        <w:rPr>
          <w:i/>
          <w:iCs/>
          <w:u w:val="single"/>
          <w:lang w:val="en-GB"/>
        </w:rPr>
        <w:t>areas</w:t>
      </w:r>
      <w:r w:rsidRPr="00516C1F">
        <w:rPr>
          <w:i/>
          <w:iCs/>
          <w:u w:val="single"/>
          <w:lang w:val="en-GB"/>
        </w:rPr>
        <w:t xml:space="preserve"> in </w:t>
      </w:r>
      <w:r w:rsidR="000A1870" w:rsidRPr="00516C1F">
        <w:rPr>
          <w:i/>
          <w:iCs/>
          <w:u w:val="single"/>
          <w:lang w:val="en-GB"/>
        </w:rPr>
        <w:t>Climate and Energy</w:t>
      </w:r>
    </w:p>
    <w:p w14:paraId="17902373" w14:textId="36D1CA37" w:rsidR="005161A9" w:rsidRPr="00516C1F" w:rsidRDefault="00643CC6" w:rsidP="0052151A">
      <w:pPr>
        <w:jc w:val="both"/>
        <w:rPr>
          <w:rFonts w:cs="Calibri"/>
          <w:lang w:val="en-GB"/>
        </w:rPr>
      </w:pPr>
      <w:r w:rsidRPr="00516C1F">
        <w:rPr>
          <w:rFonts w:cs="Calibri"/>
          <w:lang w:val="en-GB"/>
        </w:rPr>
        <w:t xml:space="preserve">Climate and Energy research is crucial to tackling environmental challenges, promoting sustainability and ensuring energy security in the region. Given the EU’s ambitious climate targets and the increasing urgency of the transition to low-carbon energy sources, research in this area has gained considerable momentum. The most common sub-areas of Horizon Europe projects are shown in Figure </w:t>
      </w:r>
      <w:r w:rsidR="002F3D87" w:rsidRPr="00516C1F">
        <w:rPr>
          <w:rFonts w:cs="Calibri"/>
          <w:lang w:val="en-GB"/>
        </w:rPr>
        <w:t>4</w:t>
      </w:r>
      <w:r w:rsidRPr="00516C1F">
        <w:rPr>
          <w:rFonts w:cs="Calibri"/>
          <w:lang w:val="en-GB"/>
        </w:rPr>
        <w:t>.</w:t>
      </w:r>
    </w:p>
    <w:p w14:paraId="6459368E" w14:textId="133A5724" w:rsidR="007379C9" w:rsidRDefault="00643CC6" w:rsidP="0052151A">
      <w:pPr>
        <w:jc w:val="both"/>
        <w:rPr>
          <w:rFonts w:cs="Calibri"/>
          <w:lang w:val="en-GB"/>
        </w:rPr>
      </w:pPr>
      <w:r w:rsidRPr="00516C1F">
        <w:rPr>
          <w:rFonts w:cs="Calibri"/>
          <w:b/>
          <w:bCs/>
          <w:lang w:val="en-GB"/>
        </w:rPr>
        <w:t>These results reflect the region’s commitment to green innovation and sustainable energy development. The focus on recycling, renewable energy and wastewater management is in line with EU policies on climate resilience and sustainability</w:t>
      </w:r>
      <w:r w:rsidRPr="00516C1F">
        <w:rPr>
          <w:rFonts w:cs="Calibri"/>
          <w:lang w:val="en-GB"/>
        </w:rPr>
        <w:t>. The strong focus on renewable energy and circular economy solutions demonstrates the region’s alignment with global sustainability goals. However, further investment is needed to develop energy storage solutions, smart grids and hydrogen technologies to improve the efficiency and scalability of clean energy systems.</w:t>
      </w:r>
    </w:p>
    <w:p w14:paraId="74B6C20B" w14:textId="77777777" w:rsidR="007A2915" w:rsidRDefault="007A2915" w:rsidP="0052151A">
      <w:pPr>
        <w:jc w:val="both"/>
        <w:rPr>
          <w:rFonts w:cs="Calibri"/>
          <w:lang w:val="en-GB"/>
        </w:rPr>
      </w:pPr>
    </w:p>
    <w:p w14:paraId="69086A30" w14:textId="77777777" w:rsidR="007A2915" w:rsidRDefault="007A2915" w:rsidP="0052151A">
      <w:pPr>
        <w:jc w:val="both"/>
        <w:rPr>
          <w:rFonts w:cs="Calibri"/>
          <w:lang w:val="en-GB"/>
        </w:rPr>
      </w:pPr>
    </w:p>
    <w:p w14:paraId="32F7DF43" w14:textId="77777777" w:rsidR="007A2915" w:rsidRDefault="007A2915" w:rsidP="0052151A">
      <w:pPr>
        <w:jc w:val="both"/>
        <w:rPr>
          <w:rFonts w:cs="Calibri"/>
          <w:lang w:val="en-GB"/>
        </w:rPr>
      </w:pPr>
    </w:p>
    <w:p w14:paraId="3C38E700" w14:textId="77777777" w:rsidR="007A2915" w:rsidRDefault="007A2915" w:rsidP="0052151A">
      <w:pPr>
        <w:jc w:val="both"/>
        <w:rPr>
          <w:rFonts w:cs="Calibri"/>
          <w:lang w:val="en-GB"/>
        </w:rPr>
      </w:pPr>
    </w:p>
    <w:p w14:paraId="7AA54504" w14:textId="77777777" w:rsidR="007A2915" w:rsidRDefault="007A2915" w:rsidP="0052151A">
      <w:pPr>
        <w:jc w:val="both"/>
        <w:rPr>
          <w:rFonts w:cs="Calibri"/>
          <w:lang w:val="en-GB"/>
        </w:rPr>
      </w:pPr>
    </w:p>
    <w:p w14:paraId="3E8C4043" w14:textId="77777777" w:rsidR="007A2915" w:rsidRPr="00516C1F" w:rsidRDefault="007A2915" w:rsidP="0052151A">
      <w:pPr>
        <w:jc w:val="both"/>
        <w:rPr>
          <w:rFonts w:cs="Calibri"/>
          <w:lang w:val="en-GB"/>
        </w:rPr>
      </w:pPr>
    </w:p>
    <w:p w14:paraId="76CEAB1D" w14:textId="344A73C9" w:rsidR="000E15B6" w:rsidRPr="00516C1F" w:rsidRDefault="000E15B6" w:rsidP="00065C8D">
      <w:pPr>
        <w:jc w:val="both"/>
        <w:rPr>
          <w:rFonts w:cs="Calibri"/>
          <w:lang w:val="en-GB"/>
        </w:rPr>
      </w:pPr>
      <w:r w:rsidRPr="00516C1F">
        <w:rPr>
          <w:rFonts w:cs="Calibri"/>
          <w:b/>
          <w:bCs/>
          <w:lang w:val="en-GB"/>
        </w:rPr>
        <w:lastRenderedPageBreak/>
        <w:t xml:space="preserve">Figure </w:t>
      </w:r>
      <w:r w:rsidR="002F3D87" w:rsidRPr="00516C1F">
        <w:rPr>
          <w:rFonts w:cs="Calibri"/>
          <w:b/>
          <w:bCs/>
          <w:lang w:val="en-GB"/>
        </w:rPr>
        <w:t>4</w:t>
      </w:r>
      <w:r w:rsidR="00065C8D" w:rsidRPr="00516C1F">
        <w:rPr>
          <w:rFonts w:cs="Calibri"/>
          <w:lang w:val="en-GB"/>
        </w:rPr>
        <w:t>:</w:t>
      </w:r>
      <w:r w:rsidR="00E870FB" w:rsidRPr="00516C1F">
        <w:rPr>
          <w:rFonts w:cs="Calibri"/>
          <w:lang w:val="en-GB"/>
        </w:rPr>
        <w:t xml:space="preserve"> Number of projects per Climate and Energy sub-areas with participation of Danube Region countries (Horizon Europe 2021-2024)</w:t>
      </w:r>
    </w:p>
    <w:p w14:paraId="1A69B982" w14:textId="0AE4D00B" w:rsidR="0080142F" w:rsidRPr="00516C1F" w:rsidRDefault="0080142F" w:rsidP="00A7690D">
      <w:pPr>
        <w:spacing w:after="0"/>
        <w:jc w:val="both"/>
        <w:rPr>
          <w:rFonts w:cs="Calibri"/>
          <w:lang w:val="en-GB"/>
        </w:rPr>
      </w:pPr>
      <w:r w:rsidRPr="00516C1F">
        <w:rPr>
          <w:rFonts w:cs="Calibri"/>
          <w:noProof/>
          <w:lang w:val="en-GB"/>
        </w:rPr>
        <w:drawing>
          <wp:inline distT="0" distB="0" distL="0" distR="0" wp14:anchorId="0E0484E9" wp14:editId="7F9ED1D5">
            <wp:extent cx="5956300" cy="3035935"/>
            <wp:effectExtent l="0" t="0" r="6350" b="0"/>
            <wp:docPr id="15868323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300" cy="3035935"/>
                    </a:xfrm>
                    <a:prstGeom prst="rect">
                      <a:avLst/>
                    </a:prstGeom>
                    <a:noFill/>
                  </pic:spPr>
                </pic:pic>
              </a:graphicData>
            </a:graphic>
          </wp:inline>
        </w:drawing>
      </w:r>
    </w:p>
    <w:p w14:paraId="5960A9E2" w14:textId="1C343728" w:rsidR="00A7690D" w:rsidRPr="007A2915" w:rsidRDefault="00A7690D" w:rsidP="00F909B6">
      <w:pPr>
        <w:jc w:val="both"/>
        <w:rPr>
          <w:rFonts w:cs="Calibri"/>
          <w:sz w:val="18"/>
          <w:szCs w:val="18"/>
          <w:lang w:val="en-GB"/>
        </w:rPr>
      </w:pPr>
      <w:r w:rsidRPr="007A2915">
        <w:rPr>
          <w:rFonts w:cs="Calibri"/>
          <w:sz w:val="18"/>
          <w:szCs w:val="18"/>
          <w:lang w:val="en-GB"/>
        </w:rPr>
        <w:t>Source: Author’s calculation based on the CORDIS database</w:t>
      </w:r>
    </w:p>
    <w:p w14:paraId="53683C3F" w14:textId="0F8AC2D2" w:rsidR="00EA7656" w:rsidRPr="00516C1F" w:rsidRDefault="008E7AD4" w:rsidP="00447C7C">
      <w:pPr>
        <w:jc w:val="both"/>
        <w:rPr>
          <w:rFonts w:cs="Calibri"/>
          <w:lang w:val="en-GB"/>
        </w:rPr>
      </w:pPr>
      <w:r w:rsidRPr="008E7AD4">
        <w:rPr>
          <w:rFonts w:cs="Calibri"/>
          <w:lang w:val="en-GB"/>
        </w:rPr>
        <w:t>Although Agri-Food</w:t>
      </w:r>
      <w:r w:rsidR="00135F9F">
        <w:rPr>
          <w:rFonts w:cs="Calibri"/>
          <w:lang w:val="en-GB"/>
        </w:rPr>
        <w:t>,</w:t>
      </w:r>
      <w:r w:rsidRPr="008E7AD4">
        <w:rPr>
          <w:rFonts w:cs="Calibri"/>
          <w:lang w:val="en-GB"/>
        </w:rPr>
        <w:t xml:space="preserve"> Bioeconomy &amp; Biotechnology, ICT, and Climate </w:t>
      </w:r>
      <w:r w:rsidR="00135F9F">
        <w:rPr>
          <w:rFonts w:cs="Calibri"/>
          <w:lang w:val="en-GB"/>
        </w:rPr>
        <w:t>ana</w:t>
      </w:r>
      <w:r w:rsidRPr="008E7AD4">
        <w:rPr>
          <w:rFonts w:cs="Calibri"/>
          <w:lang w:val="en-GB"/>
        </w:rPr>
        <w:t xml:space="preserve"> Energy are treated as distinct domains, their interconnections are becoming increasingly evident. Digital tools such as AI and big data are not only transforming energy systems, smart grids, and climate adaptation, but also reshaping agriculture through precision farming, biotechnology applications, and resource-efficient food systems. The convergence of these fields creates opportunities for smarter, more sustainable solutions</w:t>
      </w:r>
      <w:r w:rsidR="00135F9F">
        <w:rPr>
          <w:rFonts w:cs="Calibri"/>
          <w:lang w:val="en-GB"/>
        </w:rPr>
        <w:t xml:space="preserve"> </w:t>
      </w:r>
      <w:r w:rsidRPr="008E7AD4">
        <w:rPr>
          <w:rFonts w:cs="Calibri"/>
          <w:lang w:val="en-GB"/>
        </w:rPr>
        <w:t xml:space="preserve">demonstrating how digitalisation underpins both the green and bioeconomy transitions in the Danube Region. </w:t>
      </w:r>
    </w:p>
    <w:p w14:paraId="6605CD31" w14:textId="02A078D1" w:rsidR="00A945A8" w:rsidRPr="00516C1F" w:rsidRDefault="00A945A8" w:rsidP="00447C7C">
      <w:pPr>
        <w:jc w:val="both"/>
        <w:rPr>
          <w:rFonts w:cs="Calibri"/>
          <w:lang w:val="en-GB"/>
        </w:rPr>
      </w:pPr>
    </w:p>
    <w:p w14:paraId="12C3CCDA" w14:textId="003E8B4E" w:rsidR="00B80F66" w:rsidRPr="00516C1F" w:rsidRDefault="006C2919" w:rsidP="00665F97">
      <w:pPr>
        <w:pStyle w:val="Heading2"/>
        <w:numPr>
          <w:ilvl w:val="1"/>
          <w:numId w:val="2"/>
        </w:numPr>
        <w:rPr>
          <w:lang w:val="en-GB"/>
        </w:rPr>
      </w:pPr>
      <w:bookmarkStart w:id="15" w:name="_Toc208824192"/>
      <w:bookmarkStart w:id="16" w:name="_Hlk189844242"/>
      <w:r w:rsidRPr="006C2919">
        <w:rPr>
          <w:lang w:val="en-GB"/>
        </w:rPr>
        <w:t>Collaboration networks in the Danube Region: focus on main S3 areas</w:t>
      </w:r>
      <w:bookmarkEnd w:id="15"/>
    </w:p>
    <w:bookmarkEnd w:id="16"/>
    <w:p w14:paraId="3C6555AD" w14:textId="3459800D" w:rsidR="003E0253" w:rsidRPr="00516C1F" w:rsidRDefault="003E0253" w:rsidP="00AC10FB">
      <w:pPr>
        <w:jc w:val="both"/>
        <w:rPr>
          <w:lang w:val="en-GB"/>
        </w:rPr>
      </w:pPr>
      <w:r w:rsidRPr="00516C1F">
        <w:rPr>
          <w:lang w:val="en-GB"/>
        </w:rPr>
        <w:t xml:space="preserve">Social Network Analysis (SNA) was utilized to map and examine research collaboration networks in </w:t>
      </w:r>
      <w:r w:rsidR="007E1849">
        <w:rPr>
          <w:lang w:val="en-GB"/>
        </w:rPr>
        <w:t>the selected priority areas</w:t>
      </w:r>
      <w:r w:rsidRPr="00516C1F">
        <w:rPr>
          <w:lang w:val="en-GB"/>
        </w:rPr>
        <w:t xml:space="preserve"> across the Danube Region. SNA is a methodological framework that investigates the relationships and structures within a network by </w:t>
      </w:r>
      <w:r w:rsidR="00AC10FB" w:rsidRPr="00516C1F">
        <w:rPr>
          <w:lang w:val="en-GB"/>
        </w:rPr>
        <w:t>analysing</w:t>
      </w:r>
      <w:r w:rsidRPr="00516C1F">
        <w:rPr>
          <w:lang w:val="en-GB"/>
        </w:rPr>
        <w:t xml:space="preserve"> various indicators. This interdisciplinary approach integrates theoretical concepts, models, and practical applications, emphasizing the relational dynamics and the significance of the interactions among the </w:t>
      </w:r>
      <w:r w:rsidR="00AC10FB" w:rsidRPr="00516C1F">
        <w:rPr>
          <w:lang w:val="en-GB"/>
        </w:rPr>
        <w:t>analysed</w:t>
      </w:r>
      <w:r w:rsidRPr="00516C1F">
        <w:rPr>
          <w:lang w:val="en-GB"/>
        </w:rPr>
        <w:t xml:space="preserve"> units. The interconnections and defined links between these units are central to the theory of network analysis (Wasserman and Faust, 1994).</w:t>
      </w:r>
    </w:p>
    <w:p w14:paraId="578770D2" w14:textId="7CC812B7" w:rsidR="003E0253" w:rsidRPr="00516C1F" w:rsidRDefault="003E0253" w:rsidP="00AC10FB">
      <w:pPr>
        <w:jc w:val="both"/>
        <w:rPr>
          <w:lang w:val="en-GB"/>
        </w:rPr>
      </w:pPr>
      <w:r w:rsidRPr="00516C1F">
        <w:rPr>
          <w:lang w:val="en-GB"/>
        </w:rPr>
        <w:t xml:space="preserve">For this analysis, the specialized software tool </w:t>
      </w:r>
      <w:proofErr w:type="spellStart"/>
      <w:r w:rsidRPr="00516C1F">
        <w:rPr>
          <w:lang w:val="en-GB"/>
        </w:rPr>
        <w:t>Pajek</w:t>
      </w:r>
      <w:proofErr w:type="spellEnd"/>
      <w:r w:rsidR="00AC10FB" w:rsidRPr="00516C1F">
        <w:rPr>
          <w:rStyle w:val="FootnoteReference"/>
          <w:rFonts w:ascii="Times New Roman" w:hAnsi="Times New Roman" w:cs="Times New Roman"/>
          <w:lang w:val="en-GB"/>
        </w:rPr>
        <w:footnoteReference w:id="2"/>
      </w:r>
      <w:r w:rsidRPr="00516C1F">
        <w:rPr>
          <w:lang w:val="en-GB"/>
        </w:rPr>
        <w:t xml:space="preserve"> was employed. </w:t>
      </w:r>
      <w:proofErr w:type="spellStart"/>
      <w:r w:rsidRPr="00516C1F">
        <w:rPr>
          <w:lang w:val="en-GB"/>
        </w:rPr>
        <w:t>Pajek</w:t>
      </w:r>
      <w:proofErr w:type="spellEnd"/>
      <w:r w:rsidRPr="00516C1F">
        <w:rPr>
          <w:lang w:val="en-GB"/>
        </w:rPr>
        <w:t xml:space="preserve"> is designed to facilitate the study and visualization of large networks. It allowed for the efficient computation of key network metrics </w:t>
      </w:r>
      <w:r w:rsidRPr="00516C1F">
        <w:rPr>
          <w:lang w:val="en-GB"/>
        </w:rPr>
        <w:lastRenderedPageBreak/>
        <w:t>and the creation of visual representations of the network structure, showcasing the connections and central roles of various entities within the network</w:t>
      </w:r>
      <w:r w:rsidR="00F7338A" w:rsidRPr="00516C1F">
        <w:rPr>
          <w:lang w:val="en-GB"/>
        </w:rPr>
        <w:t>.</w:t>
      </w:r>
    </w:p>
    <w:p w14:paraId="397D7CD5" w14:textId="5727A38F" w:rsidR="00F635CA" w:rsidRPr="00516C1F" w:rsidRDefault="00145E7E" w:rsidP="00802835">
      <w:pPr>
        <w:spacing w:after="120"/>
        <w:jc w:val="both"/>
        <w:rPr>
          <w:rFonts w:cs="Calibri"/>
          <w:lang w:val="en-GB"/>
        </w:rPr>
      </w:pPr>
      <w:r w:rsidRPr="00516C1F">
        <w:rPr>
          <w:rFonts w:cs="Calibri"/>
          <w:lang w:val="en-GB"/>
        </w:rPr>
        <w:t xml:space="preserve">The following SNA </w:t>
      </w:r>
      <w:r w:rsidR="006A2EC3" w:rsidRPr="00516C1F">
        <w:rPr>
          <w:rFonts w:cs="Calibri"/>
          <w:lang w:val="en-GB"/>
        </w:rPr>
        <w:t>indicators were used to assess research collaboration networks</w:t>
      </w:r>
      <w:r w:rsidRPr="00516C1F">
        <w:rPr>
          <w:rFonts w:cs="Calibri"/>
          <w:lang w:val="en-GB"/>
        </w:rPr>
        <w:t>:</w:t>
      </w:r>
    </w:p>
    <w:p w14:paraId="1E2AC036" w14:textId="4210976D" w:rsidR="00F635CA" w:rsidRPr="00516C1F" w:rsidRDefault="00F635CA" w:rsidP="00665F97">
      <w:pPr>
        <w:pStyle w:val="ListParagraph"/>
        <w:numPr>
          <w:ilvl w:val="0"/>
          <w:numId w:val="5"/>
        </w:numPr>
        <w:spacing w:after="120"/>
        <w:jc w:val="both"/>
        <w:rPr>
          <w:rFonts w:cs="Calibri"/>
          <w:lang w:val="en-GB"/>
        </w:rPr>
      </w:pPr>
      <w:r w:rsidRPr="00516C1F">
        <w:rPr>
          <w:rFonts w:cs="Calibri"/>
          <w:b/>
          <w:lang w:val="en-GB"/>
        </w:rPr>
        <w:t xml:space="preserve">Degree centralisation </w:t>
      </w:r>
      <w:r w:rsidR="00D517F8" w:rsidRPr="00516C1F">
        <w:rPr>
          <w:rFonts w:cs="Calibri"/>
          <w:b/>
          <w:lang w:val="en-GB"/>
        </w:rPr>
        <w:t>of each organisation within the Danube region</w:t>
      </w:r>
      <w:r w:rsidRPr="00516C1F">
        <w:rPr>
          <w:rFonts w:cs="Calibri"/>
          <w:lang w:val="en-GB"/>
        </w:rPr>
        <w:t xml:space="preserve">: </w:t>
      </w:r>
      <w:r w:rsidR="00151944" w:rsidRPr="00516C1F">
        <w:rPr>
          <w:rFonts w:cs="Calibri"/>
          <w:lang w:val="en-GB"/>
        </w:rPr>
        <w:t xml:space="preserve">This metric evaluates the centrality of </w:t>
      </w:r>
      <w:r w:rsidR="00D517F8" w:rsidRPr="00516C1F">
        <w:rPr>
          <w:rFonts w:cs="Calibri"/>
          <w:lang w:val="en-GB"/>
        </w:rPr>
        <w:t xml:space="preserve">the specific organisation </w:t>
      </w:r>
      <w:r w:rsidR="00151944" w:rsidRPr="00516C1F">
        <w:rPr>
          <w:rFonts w:cs="Calibri"/>
          <w:lang w:val="en-GB"/>
        </w:rPr>
        <w:t>by measuring its connectivity within the network. Despite being a straightforward measure, it effectively highlights the prominence or influence of an individual actor within the network. The more connections an actor has, the greater its influence over others. Degree centrality is calculated by dividing the number of connections an actor possesses by the total number of actors in the network, minus one</w:t>
      </w:r>
      <w:r w:rsidRPr="00516C1F">
        <w:rPr>
          <w:rFonts w:cs="Calibri"/>
          <w:lang w:val="en-GB"/>
        </w:rPr>
        <w:t>:</w:t>
      </w:r>
    </w:p>
    <w:p w14:paraId="691CA05F" w14:textId="77777777" w:rsidR="00F635CA" w:rsidRPr="00516C1F" w:rsidRDefault="00000000" w:rsidP="00F635CA">
      <w:pPr>
        <w:pStyle w:val="ListParagraph"/>
        <w:spacing w:after="0"/>
        <w:ind w:left="1080"/>
        <w:rPr>
          <w:rFonts w:cs="Calibri"/>
          <w:b/>
          <w:lang w:val="en-GB"/>
        </w:rPr>
      </w:pPr>
      <m:oMathPara>
        <m:oMathParaPr>
          <m:jc m:val="center"/>
        </m:oMathParaPr>
        <m:oMath>
          <m:sSub>
            <m:sSubPr>
              <m:ctrlPr>
                <w:rPr>
                  <w:rFonts w:ascii="Cambria Math" w:hAnsi="Cambria Math" w:cs="Calibri"/>
                  <w:b/>
                  <w:i/>
                  <w:lang w:val="en-GB"/>
                </w:rPr>
              </m:ctrlPr>
            </m:sSubPr>
            <m:e>
              <m:r>
                <m:rPr>
                  <m:sty m:val="bi"/>
                </m:rPr>
                <w:rPr>
                  <w:rFonts w:ascii="Cambria Math" w:hAnsi="Cambria Math" w:cs="Calibri"/>
                  <w:lang w:val="en-GB"/>
                </w:rPr>
                <m:t>C</m:t>
              </m:r>
            </m:e>
            <m:sub>
              <m:r>
                <m:rPr>
                  <m:sty m:val="bi"/>
                </m:rPr>
                <w:rPr>
                  <w:rFonts w:ascii="Cambria Math" w:hAnsi="Cambria Math" w:cs="Calibri"/>
                  <w:lang w:val="en-GB"/>
                </w:rPr>
                <m:t>n</m:t>
              </m:r>
              <m:r>
                <m:rPr>
                  <m:sty m:val="bi"/>
                </m:rPr>
                <w:rPr>
                  <w:rFonts w:ascii="Cambria Math" w:hAnsi="Cambria Math" w:cs="Calibri"/>
                  <w:lang w:val="en-GB"/>
                </w:rPr>
                <m:t>1</m:t>
              </m:r>
            </m:sub>
          </m:sSub>
          <m:r>
            <m:rPr>
              <m:sty m:val="bi"/>
            </m:rPr>
            <w:rPr>
              <w:rFonts w:ascii="Cambria Math" w:hAnsi="Cambria Math" w:cs="Calibri"/>
              <w:lang w:val="en-GB"/>
            </w:rPr>
            <m:t>=</m:t>
          </m:r>
          <m:f>
            <m:fPr>
              <m:ctrlPr>
                <w:rPr>
                  <w:rFonts w:ascii="Cambria Math" w:hAnsi="Cambria Math" w:cs="Calibri"/>
                  <w:b/>
                  <w:i/>
                  <w:lang w:val="en-GB"/>
                </w:rPr>
              </m:ctrlPr>
            </m:fPr>
            <m:num>
              <m:sSub>
                <m:sSubPr>
                  <m:ctrlPr>
                    <w:rPr>
                      <w:rFonts w:ascii="Cambria Math" w:hAnsi="Cambria Math" w:cs="Calibri"/>
                      <w:b/>
                      <w:i/>
                      <w:lang w:val="en-GB"/>
                    </w:rPr>
                  </m:ctrlPr>
                </m:sSubPr>
                <m:e>
                  <m:r>
                    <m:rPr>
                      <m:sty m:val="bi"/>
                    </m:rPr>
                    <w:rPr>
                      <w:rFonts w:ascii="Cambria Math" w:hAnsi="Cambria Math" w:cs="Calibri"/>
                      <w:lang w:val="en-GB"/>
                    </w:rPr>
                    <m:t>D</m:t>
                  </m:r>
                </m:e>
                <m:sub>
                  <m:r>
                    <m:rPr>
                      <m:sty m:val="bi"/>
                    </m:rPr>
                    <w:rPr>
                      <w:rFonts w:ascii="Cambria Math" w:hAnsi="Cambria Math" w:cs="Calibri"/>
                      <w:lang w:val="en-GB"/>
                    </w:rPr>
                    <m:t>n</m:t>
                  </m:r>
                  <m:r>
                    <m:rPr>
                      <m:sty m:val="bi"/>
                    </m:rPr>
                    <w:rPr>
                      <w:rFonts w:ascii="Cambria Math" w:hAnsi="Cambria Math" w:cs="Calibri"/>
                      <w:lang w:val="en-GB"/>
                    </w:rPr>
                    <m:t>1</m:t>
                  </m:r>
                </m:sub>
              </m:sSub>
            </m:num>
            <m:den>
              <m:r>
                <m:rPr>
                  <m:sty m:val="bi"/>
                </m:rPr>
                <w:rPr>
                  <w:rFonts w:ascii="Cambria Math" w:hAnsi="Cambria Math" w:cs="Calibri"/>
                  <w:lang w:val="en-GB"/>
                </w:rPr>
                <m:t>G-1</m:t>
              </m:r>
            </m:den>
          </m:f>
        </m:oMath>
      </m:oMathPara>
    </w:p>
    <w:p w14:paraId="0A4144AA" w14:textId="77777777" w:rsidR="00F635CA" w:rsidRPr="00516C1F" w:rsidRDefault="00F635CA" w:rsidP="00D517F8">
      <w:pPr>
        <w:spacing w:after="120"/>
        <w:rPr>
          <w:rFonts w:cs="Calibri"/>
          <w:lang w:val="en-GB"/>
        </w:rPr>
      </w:pPr>
      <w:r w:rsidRPr="00516C1F">
        <w:rPr>
          <w:rFonts w:cs="Calibri"/>
          <w:lang w:val="en-GB"/>
        </w:rPr>
        <w:t>Where:</w:t>
      </w:r>
    </w:p>
    <w:p w14:paraId="04F3F3AB" w14:textId="77777777" w:rsidR="00F635CA" w:rsidRPr="00516C1F" w:rsidRDefault="00F635CA" w:rsidP="00665F97">
      <w:pPr>
        <w:pStyle w:val="ListParagraph"/>
        <w:numPr>
          <w:ilvl w:val="0"/>
          <w:numId w:val="8"/>
        </w:numPr>
        <w:spacing w:after="120"/>
        <w:rPr>
          <w:rFonts w:cs="Calibri"/>
          <w:lang w:val="en-GB"/>
        </w:rPr>
      </w:pPr>
      <w:r w:rsidRPr="00516C1F">
        <w:rPr>
          <w:rFonts w:cs="Calibri"/>
          <w:lang w:val="en-GB"/>
        </w:rPr>
        <w:t>D</w:t>
      </w:r>
      <w:r w:rsidRPr="00516C1F">
        <w:rPr>
          <w:rFonts w:cs="Calibri"/>
          <w:vertAlign w:val="subscript"/>
          <w:lang w:val="en-GB"/>
        </w:rPr>
        <w:t>n1</w:t>
      </w:r>
      <w:r w:rsidRPr="00516C1F">
        <w:rPr>
          <w:rFonts w:cs="Calibri"/>
          <w:lang w:val="en-GB"/>
        </w:rPr>
        <w:t xml:space="preserve"> – Number of connections of the observed actor in the network</w:t>
      </w:r>
    </w:p>
    <w:p w14:paraId="1DD7ACA8" w14:textId="77777777" w:rsidR="00F635CA" w:rsidRPr="00516C1F" w:rsidRDefault="00F635CA" w:rsidP="00665F97">
      <w:pPr>
        <w:pStyle w:val="ListParagraph"/>
        <w:numPr>
          <w:ilvl w:val="0"/>
          <w:numId w:val="8"/>
        </w:numPr>
        <w:spacing w:after="120"/>
        <w:rPr>
          <w:rFonts w:cs="Calibri"/>
          <w:lang w:val="en-GB"/>
        </w:rPr>
      </w:pPr>
      <w:r w:rsidRPr="00516C1F">
        <w:rPr>
          <w:rFonts w:cs="Calibri"/>
          <w:lang w:val="en-GB"/>
        </w:rPr>
        <w:t>G – Total number of actors in the network</w:t>
      </w:r>
    </w:p>
    <w:p w14:paraId="51CC5BA0" w14:textId="77777777" w:rsidR="00F635CA" w:rsidRPr="00516C1F" w:rsidRDefault="00F635CA" w:rsidP="00F635CA">
      <w:pPr>
        <w:spacing w:after="120"/>
        <w:jc w:val="both"/>
        <w:rPr>
          <w:rFonts w:cs="Calibri"/>
          <w:lang w:val="en-GB"/>
        </w:rPr>
      </w:pPr>
    </w:p>
    <w:p w14:paraId="27E3F878" w14:textId="0C19A7F0" w:rsidR="00F635CA" w:rsidRPr="00516C1F" w:rsidRDefault="00F635CA" w:rsidP="00665F97">
      <w:pPr>
        <w:pStyle w:val="ListParagraph"/>
        <w:numPr>
          <w:ilvl w:val="0"/>
          <w:numId w:val="9"/>
        </w:numPr>
        <w:spacing w:after="120"/>
        <w:jc w:val="both"/>
        <w:rPr>
          <w:rFonts w:cs="Calibri"/>
          <w:lang w:val="en-GB"/>
        </w:rPr>
      </w:pPr>
      <w:r w:rsidRPr="00516C1F">
        <w:rPr>
          <w:rFonts w:cs="Calibri"/>
          <w:b/>
          <w:lang w:val="en-GB"/>
        </w:rPr>
        <w:t xml:space="preserve">Betweenness centralisation </w:t>
      </w:r>
      <w:r w:rsidR="00D517F8" w:rsidRPr="00516C1F">
        <w:rPr>
          <w:rFonts w:cs="Calibri"/>
          <w:b/>
          <w:lang w:val="en-GB"/>
        </w:rPr>
        <w:t>of each organisation within the Danube region</w:t>
      </w:r>
      <w:r w:rsidRPr="00516C1F">
        <w:rPr>
          <w:rFonts w:cs="Calibri"/>
          <w:lang w:val="en-GB"/>
        </w:rPr>
        <w:t xml:space="preserve">: </w:t>
      </w:r>
      <w:r w:rsidR="00151944" w:rsidRPr="00516C1F">
        <w:rPr>
          <w:rFonts w:cs="Calibri"/>
          <w:lang w:val="en-GB"/>
        </w:rPr>
        <w:t xml:space="preserve">This indicator measures the extent to which </w:t>
      </w:r>
      <w:r w:rsidR="00D517F8" w:rsidRPr="00516C1F">
        <w:rPr>
          <w:rFonts w:cs="Calibri"/>
          <w:lang w:val="en-GB"/>
        </w:rPr>
        <w:t>the specific organisation</w:t>
      </w:r>
      <w:r w:rsidR="00151944" w:rsidRPr="00516C1F">
        <w:rPr>
          <w:rFonts w:cs="Calibri"/>
          <w:lang w:val="en-GB"/>
        </w:rPr>
        <w:t xml:space="preserve"> functions as an intermediary within the network. It reflects the actor’s role in linking others and facilitating the flow of information. Betweenness centrality calculates how frequently an actor lies on the shortest path between two other members of the network. The formula for this indicator is</w:t>
      </w:r>
      <w:r w:rsidRPr="00516C1F">
        <w:rPr>
          <w:rFonts w:cs="Calibri"/>
          <w:lang w:val="en-GB"/>
        </w:rPr>
        <w:t>:</w:t>
      </w:r>
    </w:p>
    <w:p w14:paraId="6FBFEA48" w14:textId="77777777" w:rsidR="00F635CA" w:rsidRPr="00516C1F" w:rsidRDefault="00F635CA" w:rsidP="00F635CA">
      <w:pPr>
        <w:pStyle w:val="ListParagraph"/>
        <w:spacing w:after="120"/>
        <w:ind w:left="1080"/>
        <w:jc w:val="both"/>
        <w:rPr>
          <w:rFonts w:cs="Calibri"/>
          <w:lang w:val="en-GB"/>
        </w:rPr>
      </w:pPr>
    </w:p>
    <w:p w14:paraId="308BD26E" w14:textId="77777777" w:rsidR="00F635CA" w:rsidRPr="00516C1F" w:rsidRDefault="00000000" w:rsidP="00F635CA">
      <w:pPr>
        <w:rPr>
          <w:rFonts w:cs="Calibri"/>
          <w:b/>
          <w:lang w:val="en-GB"/>
        </w:rPr>
      </w:pPr>
      <m:oMathPara>
        <m:oMath>
          <m:sSub>
            <m:sSubPr>
              <m:ctrlPr>
                <w:rPr>
                  <w:rFonts w:ascii="Cambria Math" w:hAnsi="Cambria Math" w:cs="Calibri"/>
                  <w:b/>
                  <w:i/>
                  <w:lang w:val="en-GB"/>
                </w:rPr>
              </m:ctrlPr>
            </m:sSubPr>
            <m:e>
              <m:r>
                <m:rPr>
                  <m:sty m:val="bi"/>
                </m:rPr>
                <w:rPr>
                  <w:rFonts w:ascii="Cambria Math" w:hAnsi="Cambria Math" w:cs="Calibri"/>
                  <w:lang w:val="en-GB"/>
                </w:rPr>
                <m:t>C</m:t>
              </m:r>
            </m:e>
            <m:sub>
              <m:r>
                <m:rPr>
                  <m:sty m:val="bi"/>
                </m:rPr>
                <w:rPr>
                  <w:rFonts w:ascii="Cambria Math" w:hAnsi="Cambria Math" w:cs="Calibri"/>
                  <w:lang w:val="en-GB"/>
                </w:rPr>
                <m:t>b</m:t>
              </m:r>
            </m:sub>
          </m:sSub>
          <m:d>
            <m:dPr>
              <m:ctrlPr>
                <w:rPr>
                  <w:rFonts w:ascii="Cambria Math" w:hAnsi="Cambria Math" w:cs="Calibri"/>
                  <w:b/>
                  <w:i/>
                  <w:lang w:val="en-GB"/>
                </w:rPr>
              </m:ctrlPr>
            </m:dPr>
            <m:e>
              <m:sSub>
                <m:sSubPr>
                  <m:ctrlPr>
                    <w:rPr>
                      <w:rFonts w:ascii="Cambria Math" w:hAnsi="Cambria Math" w:cs="Calibri"/>
                      <w:b/>
                      <w:i/>
                      <w:lang w:val="en-GB"/>
                    </w:rPr>
                  </m:ctrlPr>
                </m:sSubPr>
                <m:e>
                  <m:r>
                    <m:rPr>
                      <m:sty m:val="bi"/>
                    </m:rPr>
                    <w:rPr>
                      <w:rFonts w:ascii="Cambria Math" w:hAnsi="Cambria Math" w:cs="Calibri"/>
                      <w:lang w:val="en-GB"/>
                    </w:rPr>
                    <m:t>n</m:t>
                  </m:r>
                </m:e>
                <m:sub>
                  <m:r>
                    <m:rPr>
                      <m:sty m:val="bi"/>
                    </m:rPr>
                    <w:rPr>
                      <w:rFonts w:ascii="Cambria Math" w:hAnsi="Cambria Math" w:cs="Calibri"/>
                      <w:lang w:val="en-GB"/>
                    </w:rPr>
                    <m:t>i</m:t>
                  </m:r>
                </m:sub>
              </m:sSub>
            </m:e>
          </m:d>
          <m:r>
            <m:rPr>
              <m:sty m:val="bi"/>
            </m:rPr>
            <w:rPr>
              <w:rFonts w:ascii="Cambria Math" w:hAnsi="Cambria Math" w:cs="Calibri"/>
              <w:lang w:val="en-GB"/>
            </w:rPr>
            <m:t>=</m:t>
          </m:r>
          <m:nary>
            <m:naryPr>
              <m:chr m:val="∑"/>
              <m:limLoc m:val="undOvr"/>
              <m:supHide m:val="1"/>
              <m:ctrlPr>
                <w:rPr>
                  <w:rFonts w:ascii="Cambria Math" w:hAnsi="Cambria Math" w:cs="Calibri"/>
                  <w:b/>
                  <w:i/>
                  <w:lang w:val="en-GB"/>
                </w:rPr>
              </m:ctrlPr>
            </m:naryPr>
            <m:sub>
              <m:r>
                <m:rPr>
                  <m:sty m:val="bi"/>
                </m:rPr>
                <w:rPr>
                  <w:rFonts w:ascii="Cambria Math" w:hAnsi="Cambria Math" w:cs="Calibri"/>
                  <w:lang w:val="en-GB"/>
                </w:rPr>
                <m:t>j=n=k</m:t>
              </m:r>
            </m:sub>
            <m:sup/>
            <m:e>
              <m:sSub>
                <m:sSubPr>
                  <m:ctrlPr>
                    <w:rPr>
                      <w:rFonts w:ascii="Cambria Math" w:hAnsi="Cambria Math" w:cs="Calibri"/>
                      <w:b/>
                      <w:i/>
                      <w:lang w:val="en-GB"/>
                    </w:rPr>
                  </m:ctrlPr>
                </m:sSubPr>
                <m:e>
                  <m:r>
                    <m:rPr>
                      <m:sty m:val="bi"/>
                    </m:rPr>
                    <w:rPr>
                      <w:rFonts w:ascii="Cambria Math" w:hAnsi="Cambria Math" w:cs="Calibri"/>
                      <w:lang w:val="en-GB"/>
                    </w:rPr>
                    <m:t>g</m:t>
                  </m:r>
                </m:e>
                <m:sub>
                  <m:r>
                    <m:rPr>
                      <m:sty m:val="bi"/>
                    </m:rPr>
                    <w:rPr>
                      <w:rFonts w:ascii="Cambria Math" w:hAnsi="Cambria Math" w:cs="Calibri"/>
                      <w:lang w:val="en-GB"/>
                    </w:rPr>
                    <m:t>jk</m:t>
                  </m:r>
                </m:sub>
              </m:sSub>
            </m:e>
          </m:nary>
          <m:d>
            <m:dPr>
              <m:ctrlPr>
                <w:rPr>
                  <w:rFonts w:ascii="Cambria Math" w:hAnsi="Cambria Math" w:cs="Calibri"/>
                  <w:b/>
                  <w:i/>
                  <w:lang w:val="en-GB"/>
                </w:rPr>
              </m:ctrlPr>
            </m:dPr>
            <m:e>
              <m:sSub>
                <m:sSubPr>
                  <m:ctrlPr>
                    <w:rPr>
                      <w:rFonts w:ascii="Cambria Math" w:hAnsi="Cambria Math" w:cs="Calibri"/>
                      <w:b/>
                      <w:i/>
                      <w:lang w:val="en-GB"/>
                    </w:rPr>
                  </m:ctrlPr>
                </m:sSubPr>
                <m:e>
                  <m:r>
                    <m:rPr>
                      <m:sty m:val="bi"/>
                    </m:rPr>
                    <w:rPr>
                      <w:rFonts w:ascii="Cambria Math" w:hAnsi="Cambria Math" w:cs="Calibri"/>
                      <w:lang w:val="en-GB"/>
                    </w:rPr>
                    <m:t>n</m:t>
                  </m:r>
                </m:e>
                <m:sub>
                  <m:r>
                    <m:rPr>
                      <m:sty m:val="bi"/>
                    </m:rPr>
                    <w:rPr>
                      <w:rFonts w:ascii="Cambria Math" w:hAnsi="Cambria Math" w:cs="Calibri"/>
                      <w:lang w:val="en-GB"/>
                    </w:rPr>
                    <m:t>i</m:t>
                  </m:r>
                </m:sub>
              </m:sSub>
            </m:e>
          </m:d>
          <m:r>
            <m:rPr>
              <m:sty m:val="bi"/>
            </m:rPr>
            <w:rPr>
              <w:rFonts w:ascii="Cambria Math" w:hAnsi="Cambria Math" w:cs="Calibri"/>
              <w:lang w:val="en-GB"/>
            </w:rPr>
            <m:t>/</m:t>
          </m:r>
          <m:sSub>
            <m:sSubPr>
              <m:ctrlPr>
                <w:rPr>
                  <w:rFonts w:ascii="Cambria Math" w:hAnsi="Cambria Math" w:cs="Calibri"/>
                  <w:b/>
                  <w:i/>
                  <w:lang w:val="en-GB"/>
                </w:rPr>
              </m:ctrlPr>
            </m:sSubPr>
            <m:e>
              <m:r>
                <m:rPr>
                  <m:sty m:val="bi"/>
                </m:rPr>
                <w:rPr>
                  <w:rFonts w:ascii="Cambria Math" w:hAnsi="Cambria Math" w:cs="Calibri"/>
                  <w:lang w:val="en-GB"/>
                </w:rPr>
                <m:t>g</m:t>
              </m:r>
            </m:e>
            <m:sub>
              <m:r>
                <m:rPr>
                  <m:sty m:val="bi"/>
                </m:rPr>
                <w:rPr>
                  <w:rFonts w:ascii="Cambria Math" w:hAnsi="Cambria Math" w:cs="Calibri"/>
                  <w:lang w:val="en-GB"/>
                </w:rPr>
                <m:t>jk</m:t>
              </m:r>
            </m:sub>
          </m:sSub>
        </m:oMath>
      </m:oMathPara>
    </w:p>
    <w:p w14:paraId="7F148C9D" w14:textId="77777777" w:rsidR="00F635CA" w:rsidRPr="00516C1F" w:rsidRDefault="00F635CA" w:rsidP="006013DC">
      <w:pPr>
        <w:spacing w:after="120"/>
        <w:rPr>
          <w:rFonts w:cs="Calibri"/>
          <w:lang w:val="en-GB"/>
        </w:rPr>
      </w:pPr>
      <w:r w:rsidRPr="00516C1F">
        <w:rPr>
          <w:rFonts w:cs="Calibri"/>
          <w:lang w:val="en-GB"/>
        </w:rPr>
        <w:t>Where:</w:t>
      </w:r>
    </w:p>
    <w:p w14:paraId="52636E40" w14:textId="77777777" w:rsidR="00F635CA" w:rsidRPr="00516C1F" w:rsidRDefault="00F635CA" w:rsidP="00665F97">
      <w:pPr>
        <w:pStyle w:val="ListParagraph"/>
        <w:numPr>
          <w:ilvl w:val="0"/>
          <w:numId w:val="6"/>
        </w:numPr>
        <w:spacing w:after="120"/>
        <w:rPr>
          <w:rFonts w:cs="Calibri"/>
          <w:lang w:val="en-GB"/>
        </w:rPr>
      </w:pPr>
      <w:proofErr w:type="spellStart"/>
      <w:r w:rsidRPr="00516C1F">
        <w:rPr>
          <w:rFonts w:cs="Calibri"/>
          <w:lang w:val="en-GB"/>
        </w:rPr>
        <w:t>g</w:t>
      </w:r>
      <w:r w:rsidRPr="00516C1F">
        <w:rPr>
          <w:rFonts w:cs="Calibri"/>
          <w:vertAlign w:val="subscript"/>
          <w:lang w:val="en-GB"/>
        </w:rPr>
        <w:t>jk</w:t>
      </w:r>
      <w:proofErr w:type="spellEnd"/>
      <w:r w:rsidRPr="00516C1F">
        <w:rPr>
          <w:rFonts w:cs="Calibri"/>
          <w:vertAlign w:val="subscript"/>
          <w:lang w:val="en-GB"/>
        </w:rPr>
        <w:t xml:space="preserve"> </w:t>
      </w:r>
      <w:r w:rsidRPr="00516C1F">
        <w:rPr>
          <w:rFonts w:cs="Calibri"/>
          <w:lang w:val="en-GB"/>
        </w:rPr>
        <w:t>(</w:t>
      </w:r>
      <w:proofErr w:type="spellStart"/>
      <w:r w:rsidRPr="00516C1F">
        <w:rPr>
          <w:rFonts w:cs="Calibri"/>
          <w:lang w:val="en-GB"/>
        </w:rPr>
        <w:t>n</w:t>
      </w:r>
      <w:r w:rsidRPr="00516C1F">
        <w:rPr>
          <w:rFonts w:cs="Calibri"/>
          <w:vertAlign w:val="subscript"/>
          <w:lang w:val="en-GB"/>
        </w:rPr>
        <w:t>i</w:t>
      </w:r>
      <w:proofErr w:type="spellEnd"/>
      <w:r w:rsidRPr="00516C1F">
        <w:rPr>
          <w:rFonts w:cs="Calibri"/>
          <w:lang w:val="en-GB"/>
        </w:rPr>
        <w:t xml:space="preserve">) - The number of shortest paths between actors </w:t>
      </w:r>
      <w:r w:rsidRPr="00516C1F">
        <w:rPr>
          <w:rFonts w:cs="Calibri"/>
          <w:i/>
          <w:iCs/>
          <w:lang w:val="en-GB"/>
        </w:rPr>
        <w:t>j</w:t>
      </w:r>
      <w:r w:rsidRPr="00516C1F">
        <w:rPr>
          <w:rFonts w:cs="Calibri"/>
          <w:lang w:val="en-GB"/>
        </w:rPr>
        <w:t xml:space="preserve"> and </w:t>
      </w:r>
      <w:r w:rsidRPr="00516C1F">
        <w:rPr>
          <w:rFonts w:cs="Calibri"/>
          <w:i/>
          <w:iCs/>
          <w:lang w:val="en-GB"/>
        </w:rPr>
        <w:t>k</w:t>
      </w:r>
      <w:r w:rsidRPr="00516C1F">
        <w:rPr>
          <w:rFonts w:cs="Calibri"/>
          <w:lang w:val="en-GB"/>
        </w:rPr>
        <w:t xml:space="preserve"> that include actor </w:t>
      </w:r>
      <w:r w:rsidRPr="00516C1F">
        <w:rPr>
          <w:rFonts w:cs="Calibri"/>
          <w:i/>
          <w:iCs/>
          <w:lang w:val="en-GB"/>
        </w:rPr>
        <w:t>i</w:t>
      </w:r>
    </w:p>
    <w:p w14:paraId="4B8979F8" w14:textId="77777777" w:rsidR="00F635CA" w:rsidRPr="00516C1F" w:rsidRDefault="00F635CA" w:rsidP="00665F97">
      <w:pPr>
        <w:pStyle w:val="ListParagraph"/>
        <w:numPr>
          <w:ilvl w:val="0"/>
          <w:numId w:val="6"/>
        </w:numPr>
        <w:spacing w:after="120"/>
        <w:rPr>
          <w:rFonts w:cs="Calibri"/>
          <w:lang w:val="en-GB"/>
        </w:rPr>
      </w:pPr>
      <w:proofErr w:type="spellStart"/>
      <w:r w:rsidRPr="00516C1F">
        <w:rPr>
          <w:rFonts w:cs="Calibri"/>
          <w:lang w:val="en-GB"/>
        </w:rPr>
        <w:t>g</w:t>
      </w:r>
      <w:r w:rsidRPr="00516C1F">
        <w:rPr>
          <w:rFonts w:cs="Calibri"/>
          <w:vertAlign w:val="subscript"/>
          <w:lang w:val="en-GB"/>
        </w:rPr>
        <w:t>jk</w:t>
      </w:r>
      <w:proofErr w:type="spellEnd"/>
      <w:r w:rsidRPr="00516C1F">
        <w:rPr>
          <w:rFonts w:cs="Calibri"/>
          <w:lang w:val="en-GB"/>
        </w:rPr>
        <w:t xml:space="preserve"> - The number of shortest paths between actors </w:t>
      </w:r>
      <w:r w:rsidRPr="00516C1F">
        <w:rPr>
          <w:rFonts w:cs="Calibri"/>
          <w:i/>
          <w:iCs/>
          <w:lang w:val="en-GB"/>
        </w:rPr>
        <w:t>j</w:t>
      </w:r>
      <w:r w:rsidRPr="00516C1F">
        <w:rPr>
          <w:rFonts w:cs="Calibri"/>
          <w:lang w:val="en-GB"/>
        </w:rPr>
        <w:t xml:space="preserve"> and </w:t>
      </w:r>
      <w:r w:rsidRPr="00516C1F">
        <w:rPr>
          <w:rFonts w:cs="Calibri"/>
          <w:i/>
          <w:iCs/>
          <w:lang w:val="en-GB"/>
        </w:rPr>
        <w:t>k</w:t>
      </w:r>
    </w:p>
    <w:p w14:paraId="43BBE1B6" w14:textId="77777777" w:rsidR="00F635CA" w:rsidRPr="00516C1F" w:rsidRDefault="00F635CA" w:rsidP="006013DC">
      <w:pPr>
        <w:spacing w:after="120"/>
        <w:jc w:val="both"/>
        <w:rPr>
          <w:rFonts w:cs="Calibri"/>
          <w:lang w:val="en-GB"/>
        </w:rPr>
      </w:pPr>
    </w:p>
    <w:p w14:paraId="19CEE0C8" w14:textId="49565602" w:rsidR="00F635CA" w:rsidRPr="00516C1F" w:rsidRDefault="00F635CA" w:rsidP="00665F97">
      <w:pPr>
        <w:pStyle w:val="ListParagraph"/>
        <w:numPr>
          <w:ilvl w:val="0"/>
          <w:numId w:val="10"/>
        </w:numPr>
        <w:spacing w:after="120"/>
        <w:jc w:val="both"/>
        <w:rPr>
          <w:rFonts w:cs="Calibri"/>
          <w:lang w:val="en-GB"/>
        </w:rPr>
      </w:pPr>
      <w:r w:rsidRPr="00516C1F">
        <w:rPr>
          <w:rFonts w:cs="Calibri"/>
          <w:b/>
          <w:lang w:val="en-GB"/>
        </w:rPr>
        <w:t xml:space="preserve">Closeness centralisation of each </w:t>
      </w:r>
      <w:r w:rsidR="00D517F8" w:rsidRPr="00516C1F">
        <w:rPr>
          <w:rFonts w:cs="Calibri"/>
          <w:b/>
          <w:lang w:val="en-GB"/>
        </w:rPr>
        <w:t>organisation within the Danube region</w:t>
      </w:r>
      <w:r w:rsidRPr="00516C1F">
        <w:rPr>
          <w:rFonts w:cs="Calibri"/>
          <w:lang w:val="en-GB"/>
        </w:rPr>
        <w:t xml:space="preserve">: </w:t>
      </w:r>
      <w:r w:rsidR="00D517F8" w:rsidRPr="00516C1F">
        <w:rPr>
          <w:rFonts w:cs="Calibri"/>
          <w:lang w:val="en-GB"/>
        </w:rPr>
        <w:t>This metric quantifies how central the specific organisation is in terms of its accessibility to all other organisations in the network. It measures how close an actor is to others, with higher values indicating quicker communication capabilities and less reliance on intermediaries. The formula for closeness centrality is</w:t>
      </w:r>
      <w:r w:rsidRPr="00516C1F">
        <w:rPr>
          <w:rFonts w:cs="Calibri"/>
          <w:lang w:val="en-GB"/>
        </w:rPr>
        <w:t>:</w:t>
      </w:r>
    </w:p>
    <w:p w14:paraId="30920E15" w14:textId="77777777" w:rsidR="00F635CA" w:rsidRPr="00516C1F" w:rsidRDefault="00F635CA" w:rsidP="00F635CA">
      <w:pPr>
        <w:pStyle w:val="ListParagraph"/>
        <w:spacing w:after="120"/>
        <w:ind w:left="1080"/>
        <w:jc w:val="both"/>
        <w:rPr>
          <w:rFonts w:cs="Calibri"/>
          <w:lang w:val="en-GB"/>
        </w:rPr>
      </w:pPr>
    </w:p>
    <w:p w14:paraId="6E3302A9" w14:textId="77777777" w:rsidR="00F635CA" w:rsidRPr="00516C1F" w:rsidRDefault="00000000" w:rsidP="00F635CA">
      <w:pPr>
        <w:pStyle w:val="ListParagraph"/>
        <w:ind w:left="1080"/>
        <w:rPr>
          <w:rFonts w:cs="Calibri"/>
          <w:b/>
          <w:lang w:val="en-GB"/>
        </w:rPr>
      </w:pPr>
      <m:oMathPara>
        <m:oMath>
          <m:sSub>
            <m:sSubPr>
              <m:ctrlPr>
                <w:rPr>
                  <w:rFonts w:ascii="Cambria Math" w:hAnsi="Cambria Math" w:cs="Calibri"/>
                  <w:b/>
                  <w:i/>
                  <w:lang w:val="en-GB"/>
                </w:rPr>
              </m:ctrlPr>
            </m:sSubPr>
            <m:e>
              <m:r>
                <m:rPr>
                  <m:sty m:val="bi"/>
                </m:rPr>
                <w:rPr>
                  <w:rFonts w:ascii="Cambria Math" w:hAnsi="Cambria Math" w:cs="Calibri"/>
                  <w:lang w:val="en-GB"/>
                </w:rPr>
                <m:t>C</m:t>
              </m:r>
            </m:e>
            <m:sub>
              <m:r>
                <m:rPr>
                  <m:sty m:val="bi"/>
                </m:rPr>
                <w:rPr>
                  <w:rFonts w:ascii="Cambria Math" w:hAnsi="Cambria Math" w:cs="Calibri"/>
                  <w:lang w:val="en-GB"/>
                </w:rPr>
                <m:t>c</m:t>
              </m:r>
            </m:sub>
          </m:sSub>
          <m:sSub>
            <m:sSubPr>
              <m:ctrlPr>
                <w:rPr>
                  <w:rFonts w:ascii="Cambria Math" w:hAnsi="Cambria Math" w:cs="Calibri"/>
                  <w:b/>
                  <w:i/>
                  <w:lang w:val="en-GB"/>
                </w:rPr>
              </m:ctrlPr>
            </m:sSubPr>
            <m:e>
              <m:r>
                <m:rPr>
                  <m:sty m:val="bi"/>
                </m:rPr>
                <w:rPr>
                  <w:rFonts w:ascii="Cambria Math" w:hAnsi="Cambria Math" w:cs="Calibri"/>
                  <w:lang w:val="en-GB"/>
                </w:rPr>
                <m:t>n</m:t>
              </m:r>
            </m:e>
            <m:sub>
              <m:r>
                <m:rPr>
                  <m:sty m:val="bi"/>
                </m:rPr>
                <w:rPr>
                  <w:rFonts w:ascii="Cambria Math" w:hAnsi="Cambria Math" w:cs="Calibri"/>
                  <w:lang w:val="en-GB"/>
                </w:rPr>
                <m:t>i</m:t>
              </m:r>
            </m:sub>
          </m:sSub>
          <m:r>
            <m:rPr>
              <m:sty m:val="bi"/>
            </m:rPr>
            <w:rPr>
              <w:rFonts w:ascii="Cambria Math" w:hAnsi="Cambria Math" w:cs="Calibri"/>
              <w:lang w:val="en-GB"/>
            </w:rPr>
            <m:t>=</m:t>
          </m:r>
          <m:f>
            <m:fPr>
              <m:ctrlPr>
                <w:rPr>
                  <w:rFonts w:ascii="Cambria Math" w:hAnsi="Cambria Math" w:cs="Calibri"/>
                  <w:b/>
                  <w:i/>
                  <w:lang w:val="en-GB"/>
                </w:rPr>
              </m:ctrlPr>
            </m:fPr>
            <m:num>
              <m:r>
                <m:rPr>
                  <m:sty m:val="bi"/>
                </m:rPr>
                <w:rPr>
                  <w:rFonts w:ascii="Cambria Math" w:hAnsi="Cambria Math" w:cs="Calibri"/>
                  <w:lang w:val="en-GB"/>
                </w:rPr>
                <m:t>N-1</m:t>
              </m:r>
            </m:num>
            <m:den>
              <m:nary>
                <m:naryPr>
                  <m:chr m:val="∑"/>
                  <m:limLoc m:val="undOvr"/>
                  <m:ctrlPr>
                    <w:rPr>
                      <w:rFonts w:ascii="Cambria Math" w:hAnsi="Cambria Math" w:cs="Calibri"/>
                      <w:b/>
                      <w:i/>
                      <w:lang w:val="en-GB"/>
                    </w:rPr>
                  </m:ctrlPr>
                </m:naryPr>
                <m:sub>
                  <m:r>
                    <m:rPr>
                      <m:sty m:val="bi"/>
                    </m:rPr>
                    <w:rPr>
                      <w:rFonts w:ascii="Cambria Math" w:hAnsi="Cambria Math" w:cs="Calibri"/>
                      <w:lang w:val="en-GB"/>
                    </w:rPr>
                    <m:t>j=1</m:t>
                  </m:r>
                </m:sub>
                <m:sup>
                  <m:r>
                    <m:rPr>
                      <m:sty m:val="bi"/>
                    </m:rPr>
                    <w:rPr>
                      <w:rFonts w:ascii="Cambria Math" w:hAnsi="Cambria Math" w:cs="Calibri"/>
                      <w:lang w:val="en-GB"/>
                    </w:rPr>
                    <m:t>N</m:t>
                  </m:r>
                </m:sup>
                <m:e>
                  <m:r>
                    <m:rPr>
                      <m:sty m:val="bi"/>
                    </m:rPr>
                    <w:rPr>
                      <w:rFonts w:ascii="Cambria Math" w:hAnsi="Cambria Math" w:cs="Calibri"/>
                      <w:lang w:val="en-GB"/>
                    </w:rPr>
                    <m:t>d(</m:t>
                  </m:r>
                  <m:sSub>
                    <m:sSubPr>
                      <m:ctrlPr>
                        <w:rPr>
                          <w:rFonts w:ascii="Cambria Math" w:hAnsi="Cambria Math" w:cs="Calibri"/>
                          <w:b/>
                          <w:i/>
                          <w:lang w:val="en-GB"/>
                        </w:rPr>
                      </m:ctrlPr>
                    </m:sSubPr>
                    <m:e>
                      <m:r>
                        <m:rPr>
                          <m:sty m:val="bi"/>
                        </m:rPr>
                        <w:rPr>
                          <w:rFonts w:ascii="Cambria Math" w:hAnsi="Cambria Math" w:cs="Calibri"/>
                          <w:lang w:val="en-GB"/>
                        </w:rPr>
                        <m:t>n</m:t>
                      </m:r>
                    </m:e>
                    <m:sub>
                      <m:r>
                        <m:rPr>
                          <m:sty m:val="bi"/>
                        </m:rPr>
                        <w:rPr>
                          <w:rFonts w:ascii="Cambria Math" w:hAnsi="Cambria Math" w:cs="Calibri"/>
                          <w:lang w:val="en-GB"/>
                        </w:rPr>
                        <m:t xml:space="preserve">i </m:t>
                      </m:r>
                    </m:sub>
                  </m:sSub>
                  <m:sSub>
                    <m:sSubPr>
                      <m:ctrlPr>
                        <w:rPr>
                          <w:rFonts w:ascii="Cambria Math" w:hAnsi="Cambria Math" w:cs="Calibri"/>
                          <w:b/>
                          <w:i/>
                          <w:lang w:val="en-GB"/>
                        </w:rPr>
                      </m:ctrlPr>
                    </m:sSubPr>
                    <m:e>
                      <m:r>
                        <m:rPr>
                          <m:sty m:val="bi"/>
                        </m:rPr>
                        <w:rPr>
                          <w:rFonts w:ascii="Cambria Math" w:hAnsi="Cambria Math" w:cs="Calibri"/>
                          <w:lang w:val="en-GB"/>
                        </w:rPr>
                        <m:t>,n</m:t>
                      </m:r>
                    </m:e>
                    <m:sub>
                      <m:r>
                        <m:rPr>
                          <m:sty m:val="bi"/>
                        </m:rPr>
                        <w:rPr>
                          <w:rFonts w:ascii="Cambria Math" w:hAnsi="Cambria Math" w:cs="Calibri"/>
                          <w:lang w:val="en-GB"/>
                        </w:rPr>
                        <m:t>j</m:t>
                      </m:r>
                    </m:sub>
                  </m:sSub>
                  <m:r>
                    <m:rPr>
                      <m:sty m:val="bi"/>
                    </m:rPr>
                    <w:rPr>
                      <w:rFonts w:ascii="Cambria Math" w:hAnsi="Cambria Math" w:cs="Calibri"/>
                      <w:lang w:val="en-GB"/>
                    </w:rPr>
                    <m:t xml:space="preserve">) </m:t>
                  </m:r>
                </m:e>
              </m:nary>
            </m:den>
          </m:f>
        </m:oMath>
      </m:oMathPara>
    </w:p>
    <w:p w14:paraId="35F9EEBA" w14:textId="77777777" w:rsidR="00F635CA" w:rsidRPr="00516C1F" w:rsidRDefault="00F635CA" w:rsidP="006013DC">
      <w:pPr>
        <w:spacing w:after="120"/>
        <w:rPr>
          <w:rFonts w:cs="Calibri"/>
          <w:lang w:val="en-GB"/>
        </w:rPr>
      </w:pPr>
      <w:r w:rsidRPr="00516C1F">
        <w:rPr>
          <w:rFonts w:cs="Calibri"/>
          <w:lang w:val="en-GB"/>
        </w:rPr>
        <w:t>Where:</w:t>
      </w:r>
    </w:p>
    <w:p w14:paraId="50482D9C" w14:textId="77777777" w:rsidR="00F635CA" w:rsidRPr="00516C1F" w:rsidRDefault="00F635CA" w:rsidP="00665F97">
      <w:pPr>
        <w:pStyle w:val="ListParagraph"/>
        <w:numPr>
          <w:ilvl w:val="0"/>
          <w:numId w:val="7"/>
        </w:numPr>
        <w:spacing w:after="120"/>
        <w:rPr>
          <w:rFonts w:cs="Calibri"/>
          <w:lang w:val="en-GB"/>
        </w:rPr>
      </w:pPr>
      <w:r w:rsidRPr="00516C1F">
        <w:rPr>
          <w:rFonts w:cs="Calibri"/>
          <w:lang w:val="en-GB"/>
        </w:rPr>
        <w:t>d(</w:t>
      </w:r>
      <w:proofErr w:type="spellStart"/>
      <w:proofErr w:type="gramStart"/>
      <w:r w:rsidRPr="00516C1F">
        <w:rPr>
          <w:rFonts w:cs="Calibri"/>
          <w:lang w:val="en-GB"/>
        </w:rPr>
        <w:t>n</w:t>
      </w:r>
      <w:r w:rsidRPr="00516C1F">
        <w:rPr>
          <w:rFonts w:cs="Calibri"/>
          <w:vertAlign w:val="subscript"/>
          <w:lang w:val="en-GB"/>
        </w:rPr>
        <w:t>i</w:t>
      </w:r>
      <w:r w:rsidRPr="00516C1F">
        <w:rPr>
          <w:rFonts w:cs="Calibri"/>
          <w:lang w:val="en-GB"/>
        </w:rPr>
        <w:t>,n</w:t>
      </w:r>
      <w:r w:rsidRPr="00516C1F">
        <w:rPr>
          <w:rFonts w:cs="Calibri"/>
          <w:vertAlign w:val="subscript"/>
          <w:lang w:val="en-GB"/>
        </w:rPr>
        <w:t>j</w:t>
      </w:r>
      <w:proofErr w:type="spellEnd"/>
      <w:proofErr w:type="gramEnd"/>
      <w:r w:rsidRPr="00516C1F">
        <w:rPr>
          <w:rFonts w:cs="Calibri"/>
          <w:lang w:val="en-GB"/>
        </w:rPr>
        <w:t xml:space="preserve">) – the distance function of actor </w:t>
      </w:r>
      <w:r w:rsidRPr="00516C1F">
        <w:rPr>
          <w:rFonts w:ascii="Cambria Math" w:hAnsi="Cambria Math" w:cs="Cambria Math"/>
          <w:lang w:val="en-GB"/>
        </w:rPr>
        <w:t>𝑖</w:t>
      </w:r>
      <w:r w:rsidRPr="00516C1F">
        <w:rPr>
          <w:rFonts w:cs="Calibri"/>
          <w:lang w:val="en-GB"/>
        </w:rPr>
        <w:t xml:space="preserve"> from all other </w:t>
      </w:r>
      <w:r w:rsidRPr="00516C1F">
        <w:rPr>
          <w:rFonts w:ascii="Cambria Math" w:hAnsi="Cambria Math" w:cs="Cambria Math"/>
          <w:lang w:val="en-GB"/>
        </w:rPr>
        <w:t>𝑗</w:t>
      </w:r>
      <w:r w:rsidRPr="00516C1F">
        <w:rPr>
          <w:rFonts w:cs="Calibri"/>
          <w:lang w:val="en-GB"/>
        </w:rPr>
        <w:t xml:space="preserve"> members in the network</w:t>
      </w:r>
    </w:p>
    <w:p w14:paraId="7C0AA3EB" w14:textId="77777777" w:rsidR="00F635CA" w:rsidRPr="00516C1F" w:rsidRDefault="00F635CA" w:rsidP="00665F97">
      <w:pPr>
        <w:pStyle w:val="ListParagraph"/>
        <w:numPr>
          <w:ilvl w:val="0"/>
          <w:numId w:val="7"/>
        </w:numPr>
        <w:spacing w:after="120"/>
        <w:rPr>
          <w:rFonts w:cs="Calibri"/>
          <w:lang w:val="en-GB"/>
        </w:rPr>
      </w:pPr>
      <w:r w:rsidRPr="00516C1F">
        <w:rPr>
          <w:rFonts w:cs="Calibri"/>
          <w:lang w:val="en-GB"/>
        </w:rPr>
        <w:t>N – the number of actors in the network</w:t>
      </w:r>
    </w:p>
    <w:p w14:paraId="5BB5DC05" w14:textId="77777777" w:rsidR="00802835" w:rsidRPr="00516C1F" w:rsidRDefault="00802835" w:rsidP="00802835">
      <w:pPr>
        <w:pStyle w:val="ListParagraph"/>
        <w:spacing w:after="120"/>
        <w:ind w:left="1080"/>
        <w:rPr>
          <w:rFonts w:cs="Calibri"/>
          <w:lang w:val="en-GB"/>
        </w:rPr>
      </w:pPr>
    </w:p>
    <w:p w14:paraId="0F59C879" w14:textId="6A92362D" w:rsidR="0000559B" w:rsidRPr="00516C1F" w:rsidRDefault="0000559B" w:rsidP="008B4290">
      <w:pPr>
        <w:pStyle w:val="Heading3"/>
        <w:numPr>
          <w:ilvl w:val="2"/>
          <w:numId w:val="2"/>
        </w:numPr>
        <w:rPr>
          <w:lang w:val="en-GB"/>
        </w:rPr>
      </w:pPr>
      <w:bookmarkStart w:id="17" w:name="_Toc208824193"/>
      <w:r w:rsidRPr="00516C1F">
        <w:rPr>
          <w:lang w:val="en-GB"/>
        </w:rPr>
        <w:lastRenderedPageBreak/>
        <w:t xml:space="preserve">Research cooperation in </w:t>
      </w:r>
      <w:r w:rsidR="00636237" w:rsidRPr="00516C1F">
        <w:rPr>
          <w:lang w:val="en-GB"/>
        </w:rPr>
        <w:t>Agri-Food, Bioeconomy &amp; Biotechnology</w:t>
      </w:r>
      <w:bookmarkEnd w:id="17"/>
    </w:p>
    <w:p w14:paraId="3BD54095" w14:textId="3BF2C91A" w:rsidR="00802835" w:rsidRPr="00516C1F" w:rsidRDefault="0021786C" w:rsidP="00636237">
      <w:pPr>
        <w:spacing w:after="120"/>
        <w:jc w:val="both"/>
        <w:rPr>
          <w:rFonts w:cs="Calibri"/>
          <w:lang w:val="en-GB"/>
        </w:rPr>
      </w:pPr>
      <w:r w:rsidRPr="0021786C">
        <w:rPr>
          <w:rFonts w:cs="Calibri"/>
          <w:lang w:val="en-GB"/>
        </w:rPr>
        <w:t>The Agri-Food, Bioeconomy &amp; Biotechnology collaboration network in the Danube Region shows a robust but dense structure. Figure 5 illustrates this network, which includes only those organizations from the Danube Region that participate in at least three Horizon Europe projects and that have at least one partner from within the region. In the visualization, each node represents an organization, with the node size directly reflecting the number of implemented projects</w:t>
      </w:r>
      <w:r w:rsidR="00C41D3A">
        <w:rPr>
          <w:rFonts w:cs="Calibri"/>
          <w:lang w:val="en-GB"/>
        </w:rPr>
        <w:t xml:space="preserve">, </w:t>
      </w:r>
      <w:r w:rsidRPr="0021786C">
        <w:rPr>
          <w:rFonts w:cs="Calibri"/>
          <w:lang w:val="en-GB"/>
        </w:rPr>
        <w:t xml:space="preserve">larger nodes correspond to organizations involved in a higher number of projects. The lines connecting the nodes depict collaboration patterns, where thicker lines indicate stronger cooperation, signifying that the linked organizations have a greater number of joint projects. While a significant number of organizations participate in Horizon Europe projects, the degree of networking is somewhat fragmented, with different clusters forming around a limited number of central institutions. This indicates a moderate level of integration, where collaborations exist but many actors are only connected via a few strong nodes rather than forming a </w:t>
      </w:r>
      <w:r w:rsidR="00FA68F0" w:rsidRPr="00FA68F0">
        <w:rPr>
          <w:rFonts w:cs="Calibri"/>
          <w:lang w:val="en-GB"/>
        </w:rPr>
        <w:t>closely connected network</w:t>
      </w:r>
      <w:r w:rsidR="00FB6E3F">
        <w:rPr>
          <w:rFonts w:cs="Calibri"/>
          <w:lang w:val="en-GB"/>
        </w:rPr>
        <w:t>.</w:t>
      </w:r>
    </w:p>
    <w:p w14:paraId="02D38CD0" w14:textId="0E0D05BC" w:rsidR="00105F20" w:rsidRPr="00516C1F" w:rsidRDefault="00A35AE5" w:rsidP="00636237">
      <w:pPr>
        <w:spacing w:after="120"/>
        <w:jc w:val="both"/>
        <w:rPr>
          <w:rFonts w:cs="Calibri"/>
          <w:lang w:val="en-GB"/>
        </w:rPr>
      </w:pPr>
      <w:r w:rsidRPr="00516C1F">
        <w:rPr>
          <w:rFonts w:cs="Calibri"/>
          <w:lang w:val="en-GB"/>
        </w:rPr>
        <w:t xml:space="preserve">The </w:t>
      </w:r>
      <w:r w:rsidR="00FA68F0">
        <w:rPr>
          <w:rFonts w:cs="Calibri"/>
          <w:lang w:val="en-GB"/>
        </w:rPr>
        <w:t xml:space="preserve">cooperation </w:t>
      </w:r>
      <w:r w:rsidRPr="00516C1F">
        <w:rPr>
          <w:rFonts w:cs="Calibri"/>
          <w:lang w:val="en-GB"/>
        </w:rPr>
        <w:t>network is dominated by large institutions that act as primary hubs. The Fraunhofer Society (Germany), Technical University of Munich (Germany), and the AIT Austrian Institute of Technology (Austria) stand out for their large node sizes and extensive links, confirming their role as regional leaders in transnational research. Alongside them, the Max Planck Society (Germany) is remarkable as the overall leader in project numbers, though with a less extensive reach across partners. Several other universities and research centres also play key roles in the core of the network: Jožef Stefan Institute (Slovenia), University of T</w:t>
      </w:r>
      <w:r w:rsidR="002264E5">
        <w:rPr>
          <w:rFonts w:cs="Calibri"/>
          <w:lang w:val="en-GB"/>
        </w:rPr>
        <w:t>u</w:t>
      </w:r>
      <w:r w:rsidRPr="00516C1F">
        <w:rPr>
          <w:rFonts w:cs="Calibri"/>
          <w:lang w:val="en-GB"/>
        </w:rPr>
        <w:t xml:space="preserve">bingen (Germany), and University of Vienna (Austria). </w:t>
      </w:r>
    </w:p>
    <w:p w14:paraId="146AA8F1" w14:textId="238892FF" w:rsidR="00636237" w:rsidRDefault="002610C2" w:rsidP="00FA68F0">
      <w:pPr>
        <w:spacing w:after="120"/>
        <w:jc w:val="both"/>
        <w:rPr>
          <w:rFonts w:cs="Calibri"/>
          <w:lang w:val="en-GB"/>
        </w:rPr>
      </w:pPr>
      <w:r w:rsidRPr="002610C2">
        <w:rPr>
          <w:rFonts w:cs="Calibri"/>
          <w:lang w:val="en-GB"/>
        </w:rPr>
        <w:t xml:space="preserve">The geographical structure of the network is shaped by the dominance of Germany and Austria, home to several of the most central institutions. Strong representation is also visible from Slovenia and the Czech Republic, with organisations such as the Jožef Stefan Institute, Masaryk University, and the Czech University of Life Sciences Prague occupying prominent positions. </w:t>
      </w:r>
      <w:r w:rsidR="00FA68F0">
        <w:rPr>
          <w:rFonts w:cs="Calibri"/>
          <w:lang w:val="en-GB"/>
        </w:rPr>
        <w:t>On the other side</w:t>
      </w:r>
      <w:r w:rsidRPr="002610C2">
        <w:rPr>
          <w:rFonts w:cs="Calibri"/>
          <w:lang w:val="en-GB"/>
        </w:rPr>
        <w:t xml:space="preserve">, institutions from Romania, Bulgaria, Croatia, and Serbia are positioned more towards the periphery, often linked to only one or two central hubs rather than embedded in the core. This illustrates a clear imbalance: while Western Balkan and Eastern Danube actors do participate, their level of integration into collaboration networks remains limited compared to their German and Austrian counterparts. </w:t>
      </w:r>
    </w:p>
    <w:p w14:paraId="46FCBC48" w14:textId="77777777" w:rsidR="006C33E3" w:rsidRDefault="006C33E3" w:rsidP="00636237">
      <w:pPr>
        <w:spacing w:after="120"/>
        <w:jc w:val="both"/>
        <w:rPr>
          <w:rFonts w:cs="Calibri"/>
          <w:lang w:val="en-GB"/>
        </w:rPr>
      </w:pPr>
    </w:p>
    <w:p w14:paraId="0E534300" w14:textId="77777777" w:rsidR="006C33E3" w:rsidRDefault="006C33E3" w:rsidP="00636237">
      <w:pPr>
        <w:spacing w:after="120"/>
        <w:jc w:val="both"/>
        <w:rPr>
          <w:rFonts w:cs="Calibri"/>
          <w:lang w:val="en-GB"/>
        </w:rPr>
      </w:pPr>
    </w:p>
    <w:p w14:paraId="04F409B4" w14:textId="77777777" w:rsidR="006C33E3" w:rsidRDefault="006C33E3" w:rsidP="00636237">
      <w:pPr>
        <w:spacing w:after="120"/>
        <w:jc w:val="both"/>
        <w:rPr>
          <w:rFonts w:cs="Calibri"/>
          <w:lang w:val="en-GB"/>
        </w:rPr>
      </w:pPr>
    </w:p>
    <w:p w14:paraId="23878A7E" w14:textId="77777777" w:rsidR="006C33E3" w:rsidRDefault="006C33E3" w:rsidP="00636237">
      <w:pPr>
        <w:spacing w:after="120"/>
        <w:jc w:val="both"/>
        <w:rPr>
          <w:rFonts w:cs="Calibri"/>
          <w:lang w:val="en-GB"/>
        </w:rPr>
      </w:pPr>
    </w:p>
    <w:p w14:paraId="14118BDF" w14:textId="77777777" w:rsidR="006C33E3" w:rsidRDefault="006C33E3" w:rsidP="00636237">
      <w:pPr>
        <w:spacing w:after="120"/>
        <w:jc w:val="both"/>
        <w:rPr>
          <w:rFonts w:cs="Calibri"/>
          <w:lang w:val="en-GB"/>
        </w:rPr>
      </w:pPr>
    </w:p>
    <w:p w14:paraId="3DC51591" w14:textId="77777777" w:rsidR="006C33E3" w:rsidRDefault="006C33E3" w:rsidP="00636237">
      <w:pPr>
        <w:spacing w:after="120"/>
        <w:jc w:val="both"/>
        <w:rPr>
          <w:rFonts w:cs="Calibri"/>
          <w:lang w:val="en-GB"/>
        </w:rPr>
      </w:pPr>
    </w:p>
    <w:p w14:paraId="663FD041" w14:textId="77777777" w:rsidR="008B4290" w:rsidRDefault="008B4290" w:rsidP="00636237">
      <w:pPr>
        <w:spacing w:after="120"/>
        <w:jc w:val="both"/>
        <w:rPr>
          <w:rFonts w:cs="Calibri"/>
          <w:lang w:val="en-GB"/>
        </w:rPr>
      </w:pPr>
    </w:p>
    <w:p w14:paraId="415D463D" w14:textId="77777777" w:rsidR="006C33E3" w:rsidRDefault="006C33E3" w:rsidP="00636237">
      <w:pPr>
        <w:spacing w:after="120"/>
        <w:jc w:val="both"/>
        <w:rPr>
          <w:rFonts w:cs="Calibri"/>
          <w:lang w:val="en-GB"/>
        </w:rPr>
      </w:pPr>
    </w:p>
    <w:p w14:paraId="1F77045D" w14:textId="77777777" w:rsidR="006C33E3" w:rsidRDefault="006C33E3" w:rsidP="00636237">
      <w:pPr>
        <w:spacing w:after="120"/>
        <w:jc w:val="both"/>
        <w:rPr>
          <w:rFonts w:cs="Calibri"/>
          <w:lang w:val="en-GB"/>
        </w:rPr>
      </w:pPr>
    </w:p>
    <w:p w14:paraId="77D1E632" w14:textId="77777777" w:rsidR="006C33E3" w:rsidRDefault="006C33E3" w:rsidP="00636237">
      <w:pPr>
        <w:spacing w:after="120"/>
        <w:jc w:val="both"/>
        <w:rPr>
          <w:rFonts w:cs="Calibri"/>
          <w:lang w:val="en-GB"/>
        </w:rPr>
      </w:pPr>
    </w:p>
    <w:p w14:paraId="20FEC258" w14:textId="77777777" w:rsidR="006C33E3" w:rsidRPr="00516C1F" w:rsidRDefault="006C33E3" w:rsidP="00636237">
      <w:pPr>
        <w:spacing w:after="120"/>
        <w:jc w:val="both"/>
        <w:rPr>
          <w:rFonts w:cs="Calibri"/>
          <w:lang w:val="en-GB"/>
        </w:rPr>
      </w:pPr>
    </w:p>
    <w:p w14:paraId="5D1F345A" w14:textId="6A95D080" w:rsidR="00636237" w:rsidRPr="00516C1F" w:rsidRDefault="00636237" w:rsidP="003A1AD4">
      <w:pPr>
        <w:spacing w:after="0"/>
        <w:rPr>
          <w:rFonts w:cs="Calibri"/>
          <w:lang w:val="en-GB"/>
        </w:rPr>
      </w:pPr>
      <w:r w:rsidRPr="004E6A99">
        <w:rPr>
          <w:rFonts w:cs="Calibri"/>
          <w:b/>
          <w:bCs/>
          <w:lang w:val="en-GB"/>
        </w:rPr>
        <w:lastRenderedPageBreak/>
        <w:t xml:space="preserve">Figure </w:t>
      </w:r>
      <w:r w:rsidR="004E6A99" w:rsidRPr="004E6A99">
        <w:rPr>
          <w:rFonts w:cs="Calibri"/>
          <w:b/>
          <w:bCs/>
          <w:lang w:val="en-GB"/>
        </w:rPr>
        <w:t>5</w:t>
      </w:r>
      <w:r w:rsidRPr="00516C1F">
        <w:rPr>
          <w:rFonts w:cs="Calibri"/>
          <w:lang w:val="en-GB"/>
        </w:rPr>
        <w:t xml:space="preserve">: </w:t>
      </w:r>
      <w:r w:rsidR="000E673F" w:rsidRPr="000E673F">
        <w:rPr>
          <w:rFonts w:cs="Calibri"/>
          <w:lang w:val="en-GB"/>
        </w:rPr>
        <w:t>Agri-Food, Bioeconomy &amp; Biotechnology Cooperation Network in the Danube Region (Horizon Europe)</w:t>
      </w:r>
    </w:p>
    <w:p w14:paraId="041A9E72" w14:textId="65B64DCC" w:rsidR="00CB1951" w:rsidRPr="00516C1F" w:rsidRDefault="001D1144" w:rsidP="003A1AD4">
      <w:pPr>
        <w:spacing w:after="0"/>
        <w:rPr>
          <w:rFonts w:cs="Calibri"/>
          <w:lang w:val="en-GB"/>
        </w:rPr>
      </w:pPr>
      <w:r>
        <w:rPr>
          <w:rFonts w:cs="Calibri"/>
          <w:noProof/>
          <w:lang w:val="en-GB"/>
        </w:rPr>
        <w:drawing>
          <wp:inline distT="0" distB="0" distL="0" distR="0" wp14:anchorId="1DD376B5" wp14:editId="2C1361FD">
            <wp:extent cx="5943600" cy="2912745"/>
            <wp:effectExtent l="0" t="0" r="0" b="1905"/>
            <wp:docPr id="1872025749" name="Picture 1" descr="A network of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25749" name="Picture 1" descr="A network of dots and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12745"/>
                    </a:xfrm>
                    <a:prstGeom prst="rect">
                      <a:avLst/>
                    </a:prstGeom>
                  </pic:spPr>
                </pic:pic>
              </a:graphicData>
            </a:graphic>
          </wp:inline>
        </w:drawing>
      </w:r>
    </w:p>
    <w:p w14:paraId="1FF24CE2" w14:textId="0AC7A90C" w:rsidR="00CB1951" w:rsidRPr="00516C1F" w:rsidRDefault="0038667F" w:rsidP="00A764B2">
      <w:pPr>
        <w:spacing w:after="0"/>
        <w:jc w:val="center"/>
        <w:rPr>
          <w:lang w:val="en-GB"/>
        </w:rPr>
      </w:pPr>
      <w:r>
        <w:rPr>
          <w:noProof/>
          <w:lang w:val="en-GB"/>
        </w:rPr>
        <w:drawing>
          <wp:inline distT="0" distB="0" distL="0" distR="0" wp14:anchorId="28ACF133" wp14:editId="39ABCE0E">
            <wp:extent cx="1298659" cy="480060"/>
            <wp:effectExtent l="0" t="0" r="0" b="0"/>
            <wp:docPr id="1149440931" name="Picture 34" descr="A group of circles with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40931" name="Picture 34" descr="A group of circles with different colo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4313" cy="489543"/>
                    </a:xfrm>
                    <a:prstGeom prst="rect">
                      <a:avLst/>
                    </a:prstGeom>
                  </pic:spPr>
                </pic:pic>
              </a:graphicData>
            </a:graphic>
          </wp:inline>
        </w:drawing>
      </w:r>
    </w:p>
    <w:p w14:paraId="1D14E014" w14:textId="76DEDA78" w:rsidR="00C70C93" w:rsidRDefault="00A764B2" w:rsidP="003A1AD4">
      <w:pPr>
        <w:jc w:val="center"/>
        <w:rPr>
          <w:rFonts w:cs="Calibri"/>
          <w:sz w:val="18"/>
          <w:szCs w:val="18"/>
          <w:lang w:val="en-GB"/>
        </w:rPr>
      </w:pPr>
      <w:r w:rsidRPr="005678FA">
        <w:rPr>
          <w:rFonts w:cs="Calibri"/>
          <w:sz w:val="18"/>
          <w:szCs w:val="18"/>
          <w:lang w:val="en-GB"/>
        </w:rPr>
        <w:t xml:space="preserve">Source: Author's visualization using </w:t>
      </w:r>
      <w:proofErr w:type="spellStart"/>
      <w:r w:rsidRPr="005678FA">
        <w:rPr>
          <w:rFonts w:cs="Calibri"/>
          <w:sz w:val="18"/>
          <w:szCs w:val="18"/>
          <w:lang w:val="en-GB"/>
        </w:rPr>
        <w:t>Pajek</w:t>
      </w:r>
      <w:proofErr w:type="spellEnd"/>
      <w:r w:rsidRPr="005678FA">
        <w:rPr>
          <w:rFonts w:cs="Calibri"/>
          <w:sz w:val="18"/>
          <w:szCs w:val="18"/>
          <w:lang w:val="en-GB"/>
        </w:rPr>
        <w:t xml:space="preserve"> software</w:t>
      </w:r>
    </w:p>
    <w:p w14:paraId="42BC3715" w14:textId="77777777" w:rsidR="00330CDE" w:rsidRPr="005678FA" w:rsidRDefault="00330CDE" w:rsidP="003A1AD4">
      <w:pPr>
        <w:jc w:val="center"/>
        <w:rPr>
          <w:rFonts w:cs="Calibri"/>
          <w:sz w:val="18"/>
          <w:szCs w:val="18"/>
          <w:lang w:val="en-GB"/>
        </w:rPr>
      </w:pPr>
    </w:p>
    <w:p w14:paraId="4A3092A7" w14:textId="614A8F1A" w:rsidR="002E02A4" w:rsidRPr="002E02A4" w:rsidRDefault="002E02A4" w:rsidP="002E02A4">
      <w:pPr>
        <w:jc w:val="both"/>
        <w:rPr>
          <w:rFonts w:cs="Calibri"/>
          <w:lang w:val="en-GB"/>
        </w:rPr>
      </w:pPr>
      <w:r w:rsidRPr="00516C1F">
        <w:rPr>
          <w:rFonts w:cs="Calibri"/>
          <w:lang w:val="en-GB"/>
        </w:rPr>
        <w:t xml:space="preserve">The table </w:t>
      </w:r>
      <w:r>
        <w:rPr>
          <w:rFonts w:cs="Calibri"/>
          <w:lang w:val="en-GB"/>
        </w:rPr>
        <w:t>3</w:t>
      </w:r>
      <w:r w:rsidRPr="00516C1F">
        <w:rPr>
          <w:rFonts w:cs="Calibri"/>
          <w:lang w:val="en-GB"/>
        </w:rPr>
        <w:t xml:space="preserve"> provides a detailed quantitative analysis of the collaboration network for </w:t>
      </w:r>
      <w:r w:rsidRPr="002E02A4">
        <w:rPr>
          <w:rFonts w:cs="Calibri"/>
          <w:lang w:val="en-GB"/>
        </w:rPr>
        <w:t xml:space="preserve">Agri-Food, Bioeconomy &amp; Biotechnology </w:t>
      </w:r>
      <w:r w:rsidRPr="00516C1F">
        <w:rPr>
          <w:rFonts w:cs="Calibri"/>
          <w:lang w:val="en-GB"/>
        </w:rPr>
        <w:t xml:space="preserve">area in the Danube Region, focusing on key centrality measures. It lists the organizations involved, their number of project participations, and three centrality indicators: degree centrality, closeness centrality, and betweenness centrality. These metrics offer insights into the influence, connectivity, and strategic importance of each organization within the network. The number of projects indicates an organization's overall participation in Horizon Europe environmental research initiatives. </w:t>
      </w:r>
    </w:p>
    <w:p w14:paraId="2257BCD8" w14:textId="0F339D92" w:rsidR="00C70C93" w:rsidRPr="00330CDE" w:rsidRDefault="00C70C93" w:rsidP="00C70C93">
      <w:pPr>
        <w:rPr>
          <w:rFonts w:cs="Calibri"/>
          <w:i/>
          <w:iCs/>
          <w:u w:val="single"/>
          <w:lang w:val="en-GB"/>
        </w:rPr>
      </w:pPr>
      <w:r w:rsidRPr="00330CDE">
        <w:rPr>
          <w:rFonts w:cs="Calibri"/>
          <w:i/>
          <w:iCs/>
          <w:u w:val="single"/>
          <w:lang w:val="en-GB"/>
        </w:rPr>
        <w:t>Degree Centrality</w:t>
      </w:r>
    </w:p>
    <w:p w14:paraId="570970B3" w14:textId="1880E2D4" w:rsidR="00C70C93" w:rsidRPr="00516C1F" w:rsidRDefault="005C771B" w:rsidP="00C70C93">
      <w:pPr>
        <w:jc w:val="both"/>
        <w:rPr>
          <w:lang w:val="en-GB"/>
        </w:rPr>
      </w:pPr>
      <w:r w:rsidRPr="00516C1F">
        <w:rPr>
          <w:rFonts w:cs="Calibri"/>
          <w:lang w:val="en-GB"/>
        </w:rPr>
        <w:t>Degree centrality highlights the number of direct connections an organization has within the network, serving as an indicator of its collaborative capacity</w:t>
      </w:r>
      <w:r w:rsidR="005C271C" w:rsidRPr="00516C1F">
        <w:rPr>
          <w:lang w:val="en-GB"/>
        </w:rPr>
        <w:t>. Fraunhofer Society holds the highest degree (3</w:t>
      </w:r>
      <w:r w:rsidR="002264E5">
        <w:rPr>
          <w:lang w:val="en-GB"/>
        </w:rPr>
        <w:t>3</w:t>
      </w:r>
      <w:r w:rsidR="005C271C" w:rsidRPr="00516C1F">
        <w:rPr>
          <w:lang w:val="en-GB"/>
        </w:rPr>
        <w:t xml:space="preserve">) and confirms its role as the most important hub for cross-border cooperation in the Danube </w:t>
      </w:r>
      <w:proofErr w:type="spellStart"/>
      <w:r w:rsidR="005C271C" w:rsidRPr="00516C1F">
        <w:rPr>
          <w:lang w:val="en-GB"/>
        </w:rPr>
        <w:t>AgriFood</w:t>
      </w:r>
      <w:proofErr w:type="spellEnd"/>
      <w:r w:rsidR="005C271C" w:rsidRPr="00516C1F">
        <w:rPr>
          <w:lang w:val="en-GB"/>
        </w:rPr>
        <w:t>-Bioeconomy-Biotech research network. It is followed by the Technical University of Munich (23) and the Jožef Stefan Institute (23) as well as the AIT Austrian Institute of Technology (2</w:t>
      </w:r>
      <w:r w:rsidR="002264E5">
        <w:rPr>
          <w:lang w:val="en-GB"/>
        </w:rPr>
        <w:t>3</w:t>
      </w:r>
      <w:r w:rsidR="005C271C" w:rsidRPr="00516C1F">
        <w:rPr>
          <w:lang w:val="en-GB"/>
        </w:rPr>
        <w:t>) and the University of Tubingen (19). A particularly interesting is the University of Salzburg (16), which achieves a high degree with only three projects, indicating an unusually large variety of partners per project and a strong convening capacity.</w:t>
      </w:r>
    </w:p>
    <w:p w14:paraId="6B1806F9" w14:textId="6F122A8A" w:rsidR="00C70C93" w:rsidRPr="00516C1F" w:rsidRDefault="000937CD" w:rsidP="00C70C93">
      <w:pPr>
        <w:jc w:val="both"/>
        <w:rPr>
          <w:lang w:val="en-GB"/>
        </w:rPr>
      </w:pPr>
      <w:r w:rsidRPr="00516C1F">
        <w:rPr>
          <w:lang w:val="en-GB"/>
        </w:rPr>
        <w:t xml:space="preserve">The Max Planck Society is the leader in the number of projects (62), but shows only moderate degree (14). This pattern suggests that the scope of cooperation in the Danube region is smaller. </w:t>
      </w:r>
      <w:r w:rsidR="00D5028B">
        <w:rPr>
          <w:lang w:val="en-GB"/>
        </w:rPr>
        <w:t>T</w:t>
      </w:r>
      <w:r w:rsidRPr="00516C1F">
        <w:rPr>
          <w:lang w:val="en-GB"/>
        </w:rPr>
        <w:t xml:space="preserve">his may mean that </w:t>
      </w:r>
      <w:r w:rsidR="00D5028B">
        <w:rPr>
          <w:lang w:val="en-GB"/>
        </w:rPr>
        <w:t>this organisation</w:t>
      </w:r>
      <w:r w:rsidRPr="00516C1F">
        <w:rPr>
          <w:lang w:val="en-GB"/>
        </w:rPr>
        <w:t xml:space="preserve"> target</w:t>
      </w:r>
      <w:r w:rsidR="00D5028B">
        <w:rPr>
          <w:lang w:val="en-GB"/>
        </w:rPr>
        <w:t>s</w:t>
      </w:r>
      <w:r w:rsidRPr="00516C1F">
        <w:rPr>
          <w:lang w:val="en-GB"/>
        </w:rPr>
        <w:t xml:space="preserve"> other regions rather than extending links within the Danube region. As a result, </w:t>
      </w:r>
      <w:r w:rsidRPr="00516C1F">
        <w:rPr>
          <w:lang w:val="en-GB"/>
        </w:rPr>
        <w:lastRenderedPageBreak/>
        <w:t>the overall impact on network integration in this region is less than the sheer number of projects would suggest.</w:t>
      </w:r>
    </w:p>
    <w:p w14:paraId="3B45CE21" w14:textId="2F8E0FF0" w:rsidR="00D5028B" w:rsidRPr="00516C1F" w:rsidRDefault="00A955E2" w:rsidP="00330CDE">
      <w:pPr>
        <w:jc w:val="both"/>
        <w:rPr>
          <w:lang w:val="en-GB"/>
        </w:rPr>
      </w:pPr>
      <w:r>
        <w:rPr>
          <w:lang w:val="en-GB"/>
        </w:rPr>
        <w:t xml:space="preserve">Among the non-EU countries, the </w:t>
      </w:r>
      <w:proofErr w:type="spellStart"/>
      <w:r>
        <w:rPr>
          <w:lang w:val="en-GB"/>
        </w:rPr>
        <w:t>Biosense</w:t>
      </w:r>
      <w:proofErr w:type="spellEnd"/>
      <w:r>
        <w:rPr>
          <w:lang w:val="en-GB"/>
        </w:rPr>
        <w:t xml:space="preserve"> Institute and the Institute of Molecular Genetics and Genetic Engineering from Serbia play a remarkable role. With only five and three projects, but a degree of 9 and 12 respectively, they are able to establish a wide range of collaborations. This demonstrates their position as a link between the regional and EU-wide biotechnology research communities. Such institutions contribute to integration even without large project portfolios by connecting partners from peripheral or less represented areas, thus strengthening the overall network structure.</w:t>
      </w:r>
    </w:p>
    <w:p w14:paraId="6697E4CF" w14:textId="77777777" w:rsidR="00C50D28" w:rsidRPr="00330CDE" w:rsidRDefault="00C50D28" w:rsidP="00C50D28">
      <w:pPr>
        <w:rPr>
          <w:rFonts w:cs="Calibri"/>
          <w:i/>
          <w:iCs/>
          <w:u w:val="single"/>
          <w:lang w:val="en-GB"/>
        </w:rPr>
      </w:pPr>
      <w:r w:rsidRPr="00330CDE">
        <w:rPr>
          <w:rFonts w:cs="Calibri"/>
          <w:i/>
          <w:iCs/>
          <w:u w:val="single"/>
          <w:lang w:val="en-GB"/>
        </w:rPr>
        <w:t>Closeness Centrality</w:t>
      </w:r>
    </w:p>
    <w:p w14:paraId="77D8F1F3" w14:textId="77777777" w:rsidR="00D729E2" w:rsidRPr="00516C1F" w:rsidRDefault="00C50D28" w:rsidP="00133897">
      <w:pPr>
        <w:jc w:val="both"/>
        <w:rPr>
          <w:rFonts w:cs="Calibri"/>
          <w:lang w:val="en-GB"/>
        </w:rPr>
      </w:pPr>
      <w:r w:rsidRPr="00516C1F">
        <w:rPr>
          <w:rFonts w:cs="Calibri"/>
          <w:lang w:val="en-GB"/>
        </w:rPr>
        <w:t xml:space="preserve">Closeness centrality measures how efficiently an organisation can access and disseminate information within the network. </w:t>
      </w:r>
      <w:r w:rsidR="00D729E2" w:rsidRPr="00516C1F">
        <w:rPr>
          <w:rFonts w:cs="Calibri"/>
          <w:lang w:val="en-GB"/>
        </w:rPr>
        <w:t>Fraunhofer Society (0.581) again takes the lead, underscoring its role as the network’s fastest conduit for information flow and coordination. Technical University of Munich (0.543) and AIT Austrian Institute of Technology (0.536) follow closely, confirming the dominance of the German–Austrian innovation axis not only in connectivity, but also in rapid dissemination capacity.</w:t>
      </w:r>
    </w:p>
    <w:p w14:paraId="629B4C3E" w14:textId="77777777" w:rsidR="00D729E2" w:rsidRPr="00516C1F" w:rsidRDefault="00D729E2" w:rsidP="00133897">
      <w:pPr>
        <w:jc w:val="both"/>
        <w:rPr>
          <w:rFonts w:cs="Calibri"/>
          <w:lang w:val="en-GB"/>
        </w:rPr>
      </w:pPr>
      <w:r w:rsidRPr="00516C1F">
        <w:rPr>
          <w:rFonts w:cs="Calibri"/>
          <w:lang w:val="en-GB"/>
        </w:rPr>
        <w:t>Among universities, Jožef Stefan Institute (0.517), University of Tübingen (0.500) and LMU Munich (0.497) perform strongly, reflecting their ability to act as efficient intermediaries within multinational research clusters. Interestingly, the University of Salzburg (0.493) matches this profile, despite its very limited project volume. Its high closeness score shows that even smaller players can position themselves strategically, enabling them to access and transmit knowledge quickly across the network.</w:t>
      </w:r>
    </w:p>
    <w:p w14:paraId="034ED88A" w14:textId="22A8FC30" w:rsidR="00D729E2" w:rsidRPr="00516C1F" w:rsidRDefault="00D729E2" w:rsidP="00133897">
      <w:pPr>
        <w:jc w:val="both"/>
        <w:rPr>
          <w:rFonts w:cs="Calibri"/>
          <w:lang w:val="en-GB"/>
        </w:rPr>
      </w:pPr>
      <w:r w:rsidRPr="00516C1F">
        <w:rPr>
          <w:rFonts w:cs="Calibri"/>
          <w:lang w:val="en-GB"/>
        </w:rPr>
        <w:t>The Institute of Molecular Genetics and Genetic Engineering (Serbia) (0.475) achieves closeness values comparable to much larger universities, reflecting its integration into well-connected consortia. This suggests that targeted support could amplify its role as a regional connector.</w:t>
      </w:r>
    </w:p>
    <w:p w14:paraId="02FB8094" w14:textId="77777777" w:rsidR="00C50D28" w:rsidRPr="00330CDE" w:rsidRDefault="00C50D28" w:rsidP="00C50D28">
      <w:pPr>
        <w:rPr>
          <w:rFonts w:cs="Calibri"/>
          <w:i/>
          <w:iCs/>
          <w:u w:val="single"/>
          <w:lang w:val="en-GB"/>
        </w:rPr>
      </w:pPr>
      <w:r w:rsidRPr="00330CDE">
        <w:rPr>
          <w:rFonts w:cs="Calibri"/>
          <w:i/>
          <w:iCs/>
          <w:u w:val="single"/>
          <w:lang w:val="en-GB"/>
        </w:rPr>
        <w:t>Betweenness Centrality</w:t>
      </w:r>
    </w:p>
    <w:p w14:paraId="77D86EDB" w14:textId="2AC53719" w:rsidR="002530E8" w:rsidRPr="00516C1F" w:rsidRDefault="00D73B5E" w:rsidP="00133897">
      <w:pPr>
        <w:jc w:val="both"/>
        <w:rPr>
          <w:lang w:val="en-GB"/>
        </w:rPr>
      </w:pPr>
      <w:r w:rsidRPr="00516C1F">
        <w:rPr>
          <w:lang w:val="en-GB"/>
        </w:rPr>
        <w:t xml:space="preserve">Betweenness centrality identifies organizations that act as bridges, connecting disparate clusters within the network. </w:t>
      </w:r>
      <w:r w:rsidR="002530E8" w:rsidRPr="00516C1F">
        <w:rPr>
          <w:lang w:val="en-GB"/>
        </w:rPr>
        <w:t xml:space="preserve">Once again, Fraunhofer Society (0.215) dominates, reflecting its </w:t>
      </w:r>
      <w:r w:rsidR="00D9341F" w:rsidRPr="00516C1F">
        <w:rPr>
          <w:lang w:val="en-GB"/>
        </w:rPr>
        <w:t>important</w:t>
      </w:r>
      <w:r w:rsidR="002530E8" w:rsidRPr="00516C1F">
        <w:rPr>
          <w:lang w:val="en-GB"/>
        </w:rPr>
        <w:t xml:space="preserve"> role in enabling collaboration across geographic boundaries. AIT (0.134) and </w:t>
      </w:r>
      <w:r w:rsidR="007E270B" w:rsidRPr="007E270B">
        <w:rPr>
          <w:lang w:val="en-GB"/>
        </w:rPr>
        <w:t>Technical University of Munich</w:t>
      </w:r>
      <w:r w:rsidR="002530E8" w:rsidRPr="00516C1F">
        <w:rPr>
          <w:lang w:val="en-GB"/>
        </w:rPr>
        <w:t xml:space="preserve"> (0.124) also score highly, consolidating their reputation as regional brokers with both scientific and applied focus.</w:t>
      </w:r>
    </w:p>
    <w:p w14:paraId="38A0BC20" w14:textId="15A3CC68" w:rsidR="002530E8" w:rsidRPr="00516C1F" w:rsidRDefault="001F541A" w:rsidP="00133897">
      <w:pPr>
        <w:jc w:val="both"/>
        <w:rPr>
          <w:lang w:val="en-GB"/>
        </w:rPr>
      </w:pPr>
      <w:r w:rsidRPr="001F541A">
        <w:rPr>
          <w:lang w:val="en-GB"/>
        </w:rPr>
        <w:t xml:space="preserve">Some actors show high brokerage efficiency, achieving strong betweenness despite having relatively few projects or partners. The University of Natural Resources and Life Sciences, Vienna, for example, has limited direct connections, but those links bridge otherwise distant clusters and give it disproportionate influence in the network. Similarly, the Chamber of Agriculture and Forestry of Slovenia </w:t>
      </w:r>
      <w:proofErr w:type="gramStart"/>
      <w:r w:rsidRPr="001F541A">
        <w:rPr>
          <w:lang w:val="en-GB"/>
        </w:rPr>
        <w:t>acts</w:t>
      </w:r>
      <w:proofErr w:type="gramEnd"/>
      <w:r w:rsidRPr="001F541A">
        <w:rPr>
          <w:lang w:val="en-GB"/>
        </w:rPr>
        <w:t xml:space="preserve"> as a rare practice-oriented broker, connecting applied agriculture with upstream research communities</w:t>
      </w:r>
      <w:r w:rsidR="002530E8" w:rsidRPr="00516C1F">
        <w:rPr>
          <w:lang w:val="en-GB"/>
        </w:rPr>
        <w:t>.</w:t>
      </w:r>
    </w:p>
    <w:p w14:paraId="7896992F" w14:textId="748DFDE7" w:rsidR="00C37929" w:rsidRDefault="002530E8" w:rsidP="00133897">
      <w:pPr>
        <w:jc w:val="both"/>
        <w:rPr>
          <w:lang w:val="en-GB"/>
        </w:rPr>
      </w:pPr>
      <w:r w:rsidRPr="00516C1F">
        <w:rPr>
          <w:lang w:val="en-GB"/>
        </w:rPr>
        <w:t>Conversely, Max Planck Society (0.081) show relatively modest betweenness given their scale. This reinforces the earlier observation: Max Planck tends to collaborate intensively within closed circles, and while it leads in project numbers, its ability to connect otherwise unlinked groups</w:t>
      </w:r>
      <w:r w:rsidR="00E81D87">
        <w:rPr>
          <w:lang w:val="en-GB"/>
        </w:rPr>
        <w:t xml:space="preserve"> in the Danube region</w:t>
      </w:r>
      <w:r w:rsidRPr="00516C1F">
        <w:rPr>
          <w:lang w:val="en-GB"/>
        </w:rPr>
        <w:t xml:space="preserve"> is limited</w:t>
      </w:r>
      <w:r w:rsidR="00133897" w:rsidRPr="00516C1F">
        <w:rPr>
          <w:lang w:val="en-GB"/>
        </w:rPr>
        <w:t>.</w:t>
      </w:r>
    </w:p>
    <w:p w14:paraId="129403E8" w14:textId="77777777" w:rsidR="003533D2" w:rsidRPr="00516C1F" w:rsidRDefault="003533D2" w:rsidP="00133897">
      <w:pPr>
        <w:jc w:val="both"/>
        <w:rPr>
          <w:lang w:val="en-GB"/>
        </w:rPr>
      </w:pPr>
    </w:p>
    <w:p w14:paraId="4FC92C96" w14:textId="5F9BE30C" w:rsidR="00FB3CE4" w:rsidRDefault="00133897" w:rsidP="003533D2">
      <w:pPr>
        <w:spacing w:after="0"/>
        <w:jc w:val="both"/>
        <w:rPr>
          <w:rFonts w:cs="Calibri"/>
          <w:lang w:val="en-GB"/>
        </w:rPr>
      </w:pPr>
      <w:r w:rsidRPr="00516C1F">
        <w:rPr>
          <w:rFonts w:cs="Calibri"/>
          <w:b/>
          <w:bCs/>
          <w:lang w:val="en-GB"/>
        </w:rPr>
        <w:lastRenderedPageBreak/>
        <w:t>Table 3</w:t>
      </w:r>
      <w:r w:rsidRPr="00516C1F">
        <w:rPr>
          <w:rFonts w:cs="Calibri"/>
          <w:lang w:val="en-GB"/>
        </w:rPr>
        <w:t xml:space="preserve">: Key </w:t>
      </w:r>
      <w:r w:rsidR="008B4290">
        <w:rPr>
          <w:rFonts w:cs="Calibri"/>
          <w:lang w:val="en-GB"/>
        </w:rPr>
        <w:t>m</w:t>
      </w:r>
      <w:r w:rsidRPr="00516C1F">
        <w:rPr>
          <w:rFonts w:cs="Calibri"/>
          <w:lang w:val="en-GB"/>
        </w:rPr>
        <w:t xml:space="preserve">etrics from the </w:t>
      </w:r>
      <w:r w:rsidR="008B4290">
        <w:rPr>
          <w:rFonts w:cs="Calibri"/>
          <w:lang w:val="en-GB"/>
        </w:rPr>
        <w:t>s</w:t>
      </w:r>
      <w:r w:rsidRPr="00516C1F">
        <w:rPr>
          <w:rFonts w:cs="Calibri"/>
          <w:lang w:val="en-GB"/>
        </w:rPr>
        <w:t>ocial network analysis of Agri-Food, Bioeconomy &amp; Biotechnology Horizon Europe projects in the Danube region</w:t>
      </w:r>
    </w:p>
    <w:tbl>
      <w:tblPr>
        <w:tblW w:w="0" w:type="auto"/>
        <w:tblLook w:val="04A0" w:firstRow="1" w:lastRow="0" w:firstColumn="1" w:lastColumn="0" w:noHBand="0" w:noVBand="1"/>
      </w:tblPr>
      <w:tblGrid>
        <w:gridCol w:w="400"/>
        <w:gridCol w:w="4834"/>
        <w:gridCol w:w="868"/>
        <w:gridCol w:w="1163"/>
        <w:gridCol w:w="984"/>
        <w:gridCol w:w="1101"/>
      </w:tblGrid>
      <w:tr w:rsidR="00FC14BB" w:rsidRPr="00405EC9" w14:paraId="33766F39" w14:textId="77777777" w:rsidTr="00FC14BB">
        <w:trPr>
          <w:trHeight w:val="576"/>
        </w:trPr>
        <w:tc>
          <w:tcPr>
            <w:tcW w:w="400" w:type="dxa"/>
            <w:tcBorders>
              <w:top w:val="single" w:sz="4" w:space="0" w:color="auto"/>
              <w:left w:val="single" w:sz="4" w:space="0" w:color="auto"/>
              <w:bottom w:val="single" w:sz="4" w:space="0" w:color="auto"/>
              <w:right w:val="single" w:sz="4" w:space="0" w:color="auto"/>
            </w:tcBorders>
            <w:noWrap/>
            <w:vAlign w:val="center"/>
            <w:hideMark/>
          </w:tcPr>
          <w:p w14:paraId="4FAE0EAD" w14:textId="50D9C769" w:rsidR="00405EC9" w:rsidRPr="00405EC9" w:rsidRDefault="00405EC9" w:rsidP="00405EC9">
            <w:pPr>
              <w:spacing w:after="0" w:line="240" w:lineRule="auto"/>
              <w:jc w:val="center"/>
              <w:rPr>
                <w:rFonts w:eastAsia="Times New Roman" w:cs="Calibri"/>
                <w:b/>
                <w:bCs/>
                <w:color w:val="000000"/>
                <w:kern w:val="0"/>
                <w:sz w:val="16"/>
                <w:szCs w:val="16"/>
                <w14:ligatures w14:val="none"/>
              </w:rPr>
            </w:pPr>
            <w:proofErr w:type="spellStart"/>
            <w:r w:rsidRPr="00405EC9">
              <w:rPr>
                <w:rFonts w:eastAsia="Times New Roman" w:cs="Calibri"/>
                <w:b/>
                <w:bCs/>
                <w:color w:val="000000"/>
                <w:kern w:val="0"/>
                <w:sz w:val="16"/>
                <w:szCs w:val="16"/>
                <w14:ligatures w14:val="none"/>
              </w:rPr>
              <w:t>rn</w:t>
            </w:r>
            <w:proofErr w:type="spellEnd"/>
          </w:p>
        </w:tc>
        <w:tc>
          <w:tcPr>
            <w:tcW w:w="4840" w:type="dxa"/>
            <w:tcBorders>
              <w:top w:val="single" w:sz="4" w:space="0" w:color="auto"/>
              <w:left w:val="nil"/>
              <w:bottom w:val="single" w:sz="4" w:space="0" w:color="auto"/>
              <w:right w:val="single" w:sz="4" w:space="0" w:color="auto"/>
            </w:tcBorders>
            <w:noWrap/>
            <w:vAlign w:val="center"/>
            <w:hideMark/>
          </w:tcPr>
          <w:p w14:paraId="6375EAFF" w14:textId="77777777" w:rsidR="00405EC9" w:rsidRPr="00405EC9" w:rsidRDefault="00405EC9" w:rsidP="00405EC9">
            <w:pPr>
              <w:spacing w:after="0" w:line="240" w:lineRule="auto"/>
              <w:jc w:val="center"/>
              <w:rPr>
                <w:rFonts w:eastAsia="Times New Roman" w:cs="Calibri"/>
                <w:b/>
                <w:bCs/>
                <w:color w:val="000000"/>
                <w:kern w:val="0"/>
                <w:sz w:val="16"/>
                <w:szCs w:val="16"/>
                <w14:ligatures w14:val="none"/>
              </w:rPr>
            </w:pPr>
            <w:r w:rsidRPr="00405EC9">
              <w:rPr>
                <w:rFonts w:eastAsia="Times New Roman" w:cs="Calibri"/>
                <w:b/>
                <w:bCs/>
                <w:color w:val="000000"/>
                <w:kern w:val="0"/>
                <w:sz w:val="16"/>
                <w:szCs w:val="16"/>
                <w14:ligatures w14:val="none"/>
              </w:rPr>
              <w:t>Institution</w:t>
            </w:r>
          </w:p>
        </w:tc>
        <w:tc>
          <w:tcPr>
            <w:tcW w:w="869" w:type="dxa"/>
            <w:tcBorders>
              <w:top w:val="single" w:sz="4" w:space="0" w:color="auto"/>
              <w:left w:val="nil"/>
              <w:bottom w:val="single" w:sz="4" w:space="0" w:color="auto"/>
              <w:right w:val="single" w:sz="4" w:space="0" w:color="auto"/>
            </w:tcBorders>
            <w:vAlign w:val="center"/>
            <w:hideMark/>
          </w:tcPr>
          <w:p w14:paraId="3DC524E9" w14:textId="77777777" w:rsidR="00405EC9" w:rsidRPr="00405EC9" w:rsidRDefault="00405EC9" w:rsidP="00405EC9">
            <w:pPr>
              <w:spacing w:after="0" w:line="240" w:lineRule="auto"/>
              <w:jc w:val="center"/>
              <w:rPr>
                <w:rFonts w:eastAsia="Times New Roman" w:cs="Calibri"/>
                <w:b/>
                <w:bCs/>
                <w:color w:val="000000"/>
                <w:kern w:val="0"/>
                <w:sz w:val="16"/>
                <w:szCs w:val="16"/>
                <w14:ligatures w14:val="none"/>
              </w:rPr>
            </w:pPr>
            <w:r w:rsidRPr="00405EC9">
              <w:rPr>
                <w:rFonts w:eastAsia="Times New Roman" w:cs="Calibri"/>
                <w:b/>
                <w:bCs/>
                <w:color w:val="000000"/>
                <w:kern w:val="0"/>
                <w:sz w:val="16"/>
                <w:szCs w:val="16"/>
                <w14:ligatures w14:val="none"/>
              </w:rPr>
              <w:t>Number of projects</w:t>
            </w:r>
          </w:p>
        </w:tc>
        <w:tc>
          <w:tcPr>
            <w:tcW w:w="1164" w:type="dxa"/>
            <w:tcBorders>
              <w:top w:val="single" w:sz="4" w:space="0" w:color="auto"/>
              <w:left w:val="nil"/>
              <w:bottom w:val="single" w:sz="4" w:space="0" w:color="auto"/>
              <w:right w:val="single" w:sz="4" w:space="0" w:color="auto"/>
            </w:tcBorders>
            <w:vAlign w:val="center"/>
            <w:hideMark/>
          </w:tcPr>
          <w:p w14:paraId="4F25C42D" w14:textId="77777777" w:rsidR="00405EC9" w:rsidRPr="00405EC9" w:rsidRDefault="00405EC9" w:rsidP="00405EC9">
            <w:pPr>
              <w:spacing w:after="0" w:line="240" w:lineRule="auto"/>
              <w:jc w:val="center"/>
              <w:rPr>
                <w:rFonts w:eastAsia="Times New Roman" w:cs="Calibri"/>
                <w:b/>
                <w:bCs/>
                <w:color w:val="000000"/>
                <w:kern w:val="0"/>
                <w:sz w:val="16"/>
                <w:szCs w:val="16"/>
                <w14:ligatures w14:val="none"/>
              </w:rPr>
            </w:pPr>
            <w:r w:rsidRPr="00405EC9">
              <w:rPr>
                <w:rFonts w:eastAsia="Times New Roman" w:cs="Calibri"/>
                <w:b/>
                <w:bCs/>
                <w:color w:val="000000"/>
                <w:kern w:val="0"/>
                <w:sz w:val="16"/>
                <w:szCs w:val="16"/>
                <w14:ligatures w14:val="none"/>
              </w:rPr>
              <w:t>Degree centralization</w:t>
            </w:r>
          </w:p>
        </w:tc>
        <w:tc>
          <w:tcPr>
            <w:tcW w:w="985" w:type="dxa"/>
            <w:tcBorders>
              <w:top w:val="single" w:sz="4" w:space="0" w:color="auto"/>
              <w:left w:val="nil"/>
              <w:bottom w:val="single" w:sz="4" w:space="0" w:color="auto"/>
              <w:right w:val="single" w:sz="4" w:space="0" w:color="auto"/>
            </w:tcBorders>
            <w:vAlign w:val="center"/>
            <w:hideMark/>
          </w:tcPr>
          <w:p w14:paraId="76E3E1C3" w14:textId="77777777" w:rsidR="00405EC9" w:rsidRPr="00405EC9" w:rsidRDefault="00405EC9" w:rsidP="00405EC9">
            <w:pPr>
              <w:spacing w:after="0" w:line="240" w:lineRule="auto"/>
              <w:jc w:val="center"/>
              <w:rPr>
                <w:rFonts w:eastAsia="Times New Roman" w:cs="Calibri"/>
                <w:b/>
                <w:bCs/>
                <w:color w:val="000000"/>
                <w:kern w:val="0"/>
                <w:sz w:val="16"/>
                <w:szCs w:val="16"/>
                <w14:ligatures w14:val="none"/>
              </w:rPr>
            </w:pPr>
            <w:r w:rsidRPr="00405EC9">
              <w:rPr>
                <w:rFonts w:eastAsia="Times New Roman" w:cs="Calibri"/>
                <w:b/>
                <w:bCs/>
                <w:color w:val="000000"/>
                <w:kern w:val="0"/>
                <w:sz w:val="16"/>
                <w:szCs w:val="16"/>
                <w14:ligatures w14:val="none"/>
              </w:rPr>
              <w:t>Closeness centrality</w:t>
            </w:r>
          </w:p>
        </w:tc>
        <w:tc>
          <w:tcPr>
            <w:tcW w:w="1092" w:type="dxa"/>
            <w:tcBorders>
              <w:top w:val="single" w:sz="4" w:space="0" w:color="auto"/>
              <w:left w:val="nil"/>
              <w:bottom w:val="single" w:sz="4" w:space="0" w:color="auto"/>
              <w:right w:val="single" w:sz="4" w:space="0" w:color="auto"/>
            </w:tcBorders>
            <w:vAlign w:val="center"/>
            <w:hideMark/>
          </w:tcPr>
          <w:p w14:paraId="1F58F9DE" w14:textId="77777777" w:rsidR="00405EC9" w:rsidRPr="00405EC9" w:rsidRDefault="00405EC9" w:rsidP="00405EC9">
            <w:pPr>
              <w:spacing w:after="0" w:line="240" w:lineRule="auto"/>
              <w:jc w:val="center"/>
              <w:rPr>
                <w:rFonts w:eastAsia="Times New Roman" w:cs="Calibri"/>
                <w:b/>
                <w:bCs/>
                <w:color w:val="000000"/>
                <w:kern w:val="0"/>
                <w:sz w:val="16"/>
                <w:szCs w:val="16"/>
                <w14:ligatures w14:val="none"/>
              </w:rPr>
            </w:pPr>
            <w:r w:rsidRPr="00405EC9">
              <w:rPr>
                <w:rFonts w:eastAsia="Times New Roman" w:cs="Calibri"/>
                <w:b/>
                <w:bCs/>
                <w:color w:val="000000"/>
                <w:kern w:val="0"/>
                <w:sz w:val="16"/>
                <w:szCs w:val="16"/>
                <w14:ligatures w14:val="none"/>
              </w:rPr>
              <w:t>Betweenness centrality</w:t>
            </w:r>
          </w:p>
        </w:tc>
      </w:tr>
      <w:tr w:rsidR="00FC14BB" w:rsidRPr="00405EC9" w14:paraId="040AEAE2"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6195B2A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w:t>
            </w:r>
          </w:p>
        </w:tc>
        <w:tc>
          <w:tcPr>
            <w:tcW w:w="170" w:type="dxa"/>
            <w:tcBorders>
              <w:top w:val="nil"/>
              <w:left w:val="nil"/>
              <w:bottom w:val="single" w:sz="4" w:space="0" w:color="auto"/>
              <w:right w:val="single" w:sz="4" w:space="0" w:color="auto"/>
            </w:tcBorders>
            <w:noWrap/>
            <w:vAlign w:val="bottom"/>
            <w:hideMark/>
          </w:tcPr>
          <w:p w14:paraId="46F46FF0"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Max Planck Society (Germany)</w:t>
            </w:r>
          </w:p>
        </w:tc>
        <w:tc>
          <w:tcPr>
            <w:tcW w:w="17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7722E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62</w:t>
            </w:r>
          </w:p>
        </w:tc>
        <w:tc>
          <w:tcPr>
            <w:tcW w:w="170" w:type="dxa"/>
            <w:tcBorders>
              <w:top w:val="single" w:sz="4" w:space="0" w:color="auto"/>
              <w:left w:val="single" w:sz="4" w:space="0" w:color="auto"/>
              <w:bottom w:val="single" w:sz="4" w:space="0" w:color="auto"/>
              <w:right w:val="single" w:sz="4" w:space="0" w:color="auto"/>
            </w:tcBorders>
            <w:shd w:val="clear" w:color="000000" w:fill="CBE9D5"/>
            <w:noWrap/>
            <w:vAlign w:val="bottom"/>
            <w:hideMark/>
          </w:tcPr>
          <w:p w14:paraId="3782D42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14</w:t>
            </w:r>
          </w:p>
        </w:tc>
        <w:tc>
          <w:tcPr>
            <w:tcW w:w="170" w:type="dxa"/>
            <w:tcBorders>
              <w:top w:val="single" w:sz="4" w:space="0" w:color="auto"/>
              <w:left w:val="single" w:sz="4" w:space="0" w:color="auto"/>
              <w:bottom w:val="single" w:sz="4" w:space="0" w:color="auto"/>
              <w:right w:val="single" w:sz="4" w:space="0" w:color="auto"/>
            </w:tcBorders>
            <w:shd w:val="clear" w:color="000000" w:fill="C7E7D1"/>
            <w:noWrap/>
            <w:vAlign w:val="bottom"/>
            <w:hideMark/>
          </w:tcPr>
          <w:p w14:paraId="3111CD0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0.463</w:t>
            </w:r>
          </w:p>
        </w:tc>
        <w:tc>
          <w:tcPr>
            <w:tcW w:w="170" w:type="dxa"/>
            <w:tcBorders>
              <w:top w:val="single" w:sz="4" w:space="0" w:color="auto"/>
              <w:left w:val="single" w:sz="4" w:space="0" w:color="auto"/>
              <w:bottom w:val="single" w:sz="4" w:space="0" w:color="auto"/>
              <w:right w:val="single" w:sz="4" w:space="0" w:color="auto"/>
            </w:tcBorders>
            <w:shd w:val="clear" w:color="000000" w:fill="C7E7D1"/>
            <w:noWrap/>
            <w:vAlign w:val="bottom"/>
            <w:hideMark/>
          </w:tcPr>
          <w:p w14:paraId="12F2B4B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0.081</w:t>
            </w:r>
          </w:p>
        </w:tc>
      </w:tr>
      <w:tr w:rsidR="00FC14BB" w:rsidRPr="00405EC9" w14:paraId="6E01999A"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31E187E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170" w:type="dxa"/>
            <w:tcBorders>
              <w:top w:val="nil"/>
              <w:left w:val="nil"/>
              <w:bottom w:val="single" w:sz="4" w:space="0" w:color="auto"/>
              <w:right w:val="single" w:sz="4" w:space="0" w:color="auto"/>
            </w:tcBorders>
            <w:noWrap/>
            <w:vAlign w:val="bottom"/>
            <w:hideMark/>
          </w:tcPr>
          <w:p w14:paraId="3426FA9D"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Technical University of Munich (Germany)</w:t>
            </w:r>
          </w:p>
        </w:tc>
        <w:tc>
          <w:tcPr>
            <w:tcW w:w="170" w:type="dxa"/>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5669292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29</w:t>
            </w:r>
          </w:p>
        </w:tc>
        <w:tc>
          <w:tcPr>
            <w:tcW w:w="170" w:type="dxa"/>
            <w:tcBorders>
              <w:top w:val="single" w:sz="4" w:space="0" w:color="auto"/>
              <w:left w:val="single" w:sz="4" w:space="0" w:color="auto"/>
              <w:bottom w:val="single" w:sz="4" w:space="0" w:color="auto"/>
              <w:right w:val="single" w:sz="4" w:space="0" w:color="auto"/>
            </w:tcBorders>
            <w:shd w:val="clear" w:color="000000" w:fill="9AD5AB"/>
            <w:noWrap/>
            <w:vAlign w:val="bottom"/>
            <w:hideMark/>
          </w:tcPr>
          <w:p w14:paraId="1B5BDDD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23</w:t>
            </w:r>
          </w:p>
        </w:tc>
        <w:tc>
          <w:tcPr>
            <w:tcW w:w="170" w:type="dxa"/>
            <w:tcBorders>
              <w:top w:val="single" w:sz="4" w:space="0" w:color="auto"/>
              <w:left w:val="single" w:sz="4" w:space="0" w:color="auto"/>
              <w:bottom w:val="single" w:sz="4" w:space="0" w:color="auto"/>
              <w:right w:val="single" w:sz="4" w:space="0" w:color="auto"/>
            </w:tcBorders>
            <w:shd w:val="clear" w:color="000000" w:fill="83CB97"/>
            <w:noWrap/>
            <w:vAlign w:val="bottom"/>
            <w:hideMark/>
          </w:tcPr>
          <w:p w14:paraId="2E5B18F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0.543</w:t>
            </w:r>
          </w:p>
        </w:tc>
        <w:tc>
          <w:tcPr>
            <w:tcW w:w="170" w:type="dxa"/>
            <w:tcBorders>
              <w:top w:val="single" w:sz="4" w:space="0" w:color="auto"/>
              <w:left w:val="single" w:sz="4" w:space="0" w:color="auto"/>
              <w:bottom w:val="single" w:sz="4" w:space="0" w:color="auto"/>
              <w:right w:val="single" w:sz="4" w:space="0" w:color="auto"/>
            </w:tcBorders>
            <w:shd w:val="clear" w:color="000000" w:fill="A7DAB6"/>
            <w:noWrap/>
            <w:vAlign w:val="bottom"/>
            <w:hideMark/>
          </w:tcPr>
          <w:p w14:paraId="77D97F9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0.124</w:t>
            </w:r>
          </w:p>
        </w:tc>
      </w:tr>
      <w:tr w:rsidR="00FC14BB" w:rsidRPr="00405EC9" w14:paraId="23A900A9"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4E6E949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70" w:type="dxa"/>
            <w:tcBorders>
              <w:top w:val="nil"/>
              <w:left w:val="nil"/>
              <w:bottom w:val="single" w:sz="4" w:space="0" w:color="auto"/>
              <w:right w:val="single" w:sz="4" w:space="0" w:color="auto"/>
            </w:tcBorders>
            <w:noWrap/>
            <w:vAlign w:val="bottom"/>
            <w:hideMark/>
          </w:tcPr>
          <w:p w14:paraId="03484BFE"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Fraunhofer Society (Germany)</w:t>
            </w:r>
          </w:p>
        </w:tc>
        <w:tc>
          <w:tcPr>
            <w:tcW w:w="170" w:type="dxa"/>
            <w:tcBorders>
              <w:top w:val="single" w:sz="4" w:space="0" w:color="auto"/>
              <w:left w:val="single" w:sz="4" w:space="0" w:color="auto"/>
              <w:bottom w:val="single" w:sz="4" w:space="0" w:color="auto"/>
              <w:right w:val="single" w:sz="4" w:space="0" w:color="auto"/>
            </w:tcBorders>
            <w:shd w:val="clear" w:color="000000" w:fill="BDE3C9"/>
            <w:noWrap/>
            <w:vAlign w:val="bottom"/>
            <w:hideMark/>
          </w:tcPr>
          <w:p w14:paraId="0797F38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28</w:t>
            </w:r>
          </w:p>
        </w:tc>
        <w:tc>
          <w:tcPr>
            <w:tcW w:w="17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66CBA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33</w:t>
            </w:r>
          </w:p>
        </w:tc>
        <w:tc>
          <w:tcPr>
            <w:tcW w:w="17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A094D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0.581</w:t>
            </w:r>
          </w:p>
        </w:tc>
        <w:tc>
          <w:tcPr>
            <w:tcW w:w="17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79CC8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0.215</w:t>
            </w:r>
          </w:p>
        </w:tc>
      </w:tr>
      <w:tr w:rsidR="00FC14BB" w:rsidRPr="00405EC9" w14:paraId="61A0E994"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258B192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70" w:type="dxa"/>
            <w:tcBorders>
              <w:top w:val="nil"/>
              <w:left w:val="nil"/>
              <w:bottom w:val="single" w:sz="4" w:space="0" w:color="auto"/>
              <w:right w:val="single" w:sz="4" w:space="0" w:color="auto"/>
            </w:tcBorders>
            <w:noWrap/>
            <w:vAlign w:val="bottom"/>
            <w:hideMark/>
          </w:tcPr>
          <w:p w14:paraId="6450CB20"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European Molecular Biology Laboratory (Germany)</w:t>
            </w:r>
          </w:p>
        </w:tc>
        <w:tc>
          <w:tcPr>
            <w:tcW w:w="170" w:type="dxa"/>
            <w:tcBorders>
              <w:top w:val="single" w:sz="4" w:space="0" w:color="auto"/>
              <w:left w:val="single" w:sz="4" w:space="0" w:color="auto"/>
              <w:bottom w:val="single" w:sz="4" w:space="0" w:color="auto"/>
              <w:right w:val="single" w:sz="4" w:space="0" w:color="auto"/>
            </w:tcBorders>
            <w:shd w:val="clear" w:color="000000" w:fill="C5E6D0"/>
            <w:noWrap/>
            <w:vAlign w:val="bottom"/>
            <w:hideMark/>
          </w:tcPr>
          <w:p w14:paraId="0A8D824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25</w:t>
            </w:r>
          </w:p>
        </w:tc>
        <w:tc>
          <w:tcPr>
            <w:tcW w:w="170" w:type="dxa"/>
            <w:tcBorders>
              <w:top w:val="single" w:sz="4" w:space="0" w:color="auto"/>
              <w:left w:val="single" w:sz="4" w:space="0" w:color="auto"/>
              <w:bottom w:val="single" w:sz="4" w:space="0" w:color="auto"/>
              <w:right w:val="single" w:sz="4" w:space="0" w:color="auto"/>
            </w:tcBorders>
            <w:shd w:val="clear" w:color="000000" w:fill="C6E6D0"/>
            <w:noWrap/>
            <w:vAlign w:val="bottom"/>
            <w:hideMark/>
          </w:tcPr>
          <w:p w14:paraId="71CC076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15</w:t>
            </w:r>
          </w:p>
        </w:tc>
        <w:tc>
          <w:tcPr>
            <w:tcW w:w="170" w:type="dxa"/>
            <w:tcBorders>
              <w:top w:val="single" w:sz="4" w:space="0" w:color="auto"/>
              <w:left w:val="single" w:sz="4" w:space="0" w:color="auto"/>
              <w:bottom w:val="single" w:sz="4" w:space="0" w:color="auto"/>
              <w:right w:val="single" w:sz="4" w:space="0" w:color="auto"/>
            </w:tcBorders>
            <w:shd w:val="clear" w:color="000000" w:fill="B0DDBD"/>
            <w:noWrap/>
            <w:vAlign w:val="bottom"/>
            <w:hideMark/>
          </w:tcPr>
          <w:p w14:paraId="3B45E9C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0.490</w:t>
            </w:r>
          </w:p>
        </w:tc>
        <w:tc>
          <w:tcPr>
            <w:tcW w:w="170" w:type="dxa"/>
            <w:tcBorders>
              <w:top w:val="single" w:sz="4" w:space="0" w:color="auto"/>
              <w:left w:val="single" w:sz="4" w:space="0" w:color="auto"/>
              <w:bottom w:val="single" w:sz="4" w:space="0" w:color="auto"/>
              <w:right w:val="single" w:sz="4" w:space="0" w:color="auto"/>
            </w:tcBorders>
            <w:shd w:val="clear" w:color="000000" w:fill="BAE1C6"/>
            <w:noWrap/>
            <w:vAlign w:val="bottom"/>
            <w:hideMark/>
          </w:tcPr>
          <w:p w14:paraId="0426DAB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0.099</w:t>
            </w:r>
          </w:p>
        </w:tc>
      </w:tr>
      <w:tr w:rsidR="00FC14BB" w:rsidRPr="00405EC9" w14:paraId="6EF6DFD2"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752DC9D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170" w:type="dxa"/>
            <w:tcBorders>
              <w:top w:val="nil"/>
              <w:left w:val="nil"/>
              <w:bottom w:val="single" w:sz="4" w:space="0" w:color="auto"/>
              <w:right w:val="single" w:sz="4" w:space="0" w:color="auto"/>
            </w:tcBorders>
            <w:noWrap/>
            <w:vAlign w:val="bottom"/>
            <w:hideMark/>
          </w:tcPr>
          <w:p w14:paraId="78A4958A"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Vienna (Austria)</w:t>
            </w:r>
          </w:p>
        </w:tc>
        <w:tc>
          <w:tcPr>
            <w:tcW w:w="170" w:type="dxa"/>
            <w:tcBorders>
              <w:top w:val="single" w:sz="4" w:space="0" w:color="auto"/>
              <w:left w:val="single" w:sz="4" w:space="0" w:color="auto"/>
              <w:bottom w:val="single" w:sz="4" w:space="0" w:color="auto"/>
              <w:right w:val="single" w:sz="4" w:space="0" w:color="auto"/>
            </w:tcBorders>
            <w:shd w:val="clear" w:color="000000" w:fill="DDF0E4"/>
            <w:noWrap/>
            <w:vAlign w:val="bottom"/>
            <w:hideMark/>
          </w:tcPr>
          <w:p w14:paraId="5D09D2E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16</w:t>
            </w:r>
          </w:p>
        </w:tc>
        <w:tc>
          <w:tcPr>
            <w:tcW w:w="170" w:type="dxa"/>
            <w:tcBorders>
              <w:top w:val="single" w:sz="4" w:space="0" w:color="auto"/>
              <w:left w:val="single" w:sz="4" w:space="0" w:color="auto"/>
              <w:bottom w:val="single" w:sz="4" w:space="0" w:color="auto"/>
              <w:right w:val="single" w:sz="4" w:space="0" w:color="auto"/>
            </w:tcBorders>
            <w:shd w:val="clear" w:color="000000" w:fill="C0E4CC"/>
            <w:noWrap/>
            <w:vAlign w:val="bottom"/>
            <w:hideMark/>
          </w:tcPr>
          <w:p w14:paraId="5CEDE1C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16</w:t>
            </w:r>
          </w:p>
        </w:tc>
        <w:tc>
          <w:tcPr>
            <w:tcW w:w="170" w:type="dxa"/>
            <w:tcBorders>
              <w:top w:val="single" w:sz="4" w:space="0" w:color="auto"/>
              <w:left w:val="single" w:sz="4" w:space="0" w:color="auto"/>
              <w:bottom w:val="single" w:sz="4" w:space="0" w:color="auto"/>
              <w:right w:val="single" w:sz="4" w:space="0" w:color="auto"/>
            </w:tcBorders>
            <w:shd w:val="clear" w:color="000000" w:fill="B8E1C4"/>
            <w:noWrap/>
            <w:vAlign w:val="bottom"/>
            <w:hideMark/>
          </w:tcPr>
          <w:p w14:paraId="2CFB900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0.481</w:t>
            </w:r>
          </w:p>
        </w:tc>
        <w:tc>
          <w:tcPr>
            <w:tcW w:w="170" w:type="dxa"/>
            <w:tcBorders>
              <w:top w:val="single" w:sz="4" w:space="0" w:color="auto"/>
              <w:left w:val="single" w:sz="4" w:space="0" w:color="auto"/>
              <w:bottom w:val="single" w:sz="4" w:space="0" w:color="auto"/>
              <w:right w:val="single" w:sz="4" w:space="0" w:color="auto"/>
            </w:tcBorders>
            <w:shd w:val="clear" w:color="000000" w:fill="D9EEE1"/>
            <w:noWrap/>
            <w:vAlign w:val="bottom"/>
            <w:hideMark/>
          </w:tcPr>
          <w:p w14:paraId="49D0EBE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0.057</w:t>
            </w:r>
          </w:p>
        </w:tc>
      </w:tr>
      <w:tr w:rsidR="00FC14BB" w:rsidRPr="00405EC9" w14:paraId="59B6F236"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0FF5728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w:t>
            </w:r>
          </w:p>
        </w:tc>
        <w:tc>
          <w:tcPr>
            <w:tcW w:w="170" w:type="dxa"/>
            <w:tcBorders>
              <w:top w:val="nil"/>
              <w:left w:val="nil"/>
              <w:bottom w:val="single" w:sz="4" w:space="0" w:color="auto"/>
              <w:right w:val="single" w:sz="4" w:space="0" w:color="auto"/>
            </w:tcBorders>
            <w:noWrap/>
            <w:vAlign w:val="bottom"/>
            <w:hideMark/>
          </w:tcPr>
          <w:p w14:paraId="5636720A"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AIT Austrian Institute of Technology GmbH (Austria)</w:t>
            </w:r>
          </w:p>
        </w:tc>
        <w:tc>
          <w:tcPr>
            <w:tcW w:w="170"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01C1C5C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15</w:t>
            </w:r>
          </w:p>
        </w:tc>
        <w:tc>
          <w:tcPr>
            <w:tcW w:w="170" w:type="dxa"/>
            <w:tcBorders>
              <w:top w:val="single" w:sz="4" w:space="0" w:color="auto"/>
              <w:left w:val="single" w:sz="4" w:space="0" w:color="auto"/>
              <w:bottom w:val="single" w:sz="4" w:space="0" w:color="auto"/>
              <w:right w:val="single" w:sz="4" w:space="0" w:color="auto"/>
            </w:tcBorders>
            <w:shd w:val="clear" w:color="000000" w:fill="9AD5AB"/>
            <w:noWrap/>
            <w:vAlign w:val="bottom"/>
            <w:hideMark/>
          </w:tcPr>
          <w:p w14:paraId="01CDE6A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23</w:t>
            </w:r>
          </w:p>
        </w:tc>
        <w:tc>
          <w:tcPr>
            <w:tcW w:w="170" w:type="dxa"/>
            <w:tcBorders>
              <w:top w:val="single" w:sz="4" w:space="0" w:color="auto"/>
              <w:left w:val="single" w:sz="4" w:space="0" w:color="auto"/>
              <w:bottom w:val="single" w:sz="4" w:space="0" w:color="auto"/>
              <w:right w:val="single" w:sz="4" w:space="0" w:color="auto"/>
            </w:tcBorders>
            <w:shd w:val="clear" w:color="000000" w:fill="8ACE9D"/>
            <w:noWrap/>
            <w:vAlign w:val="bottom"/>
            <w:hideMark/>
          </w:tcPr>
          <w:p w14:paraId="53152E7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0.536</w:t>
            </w:r>
          </w:p>
        </w:tc>
        <w:tc>
          <w:tcPr>
            <w:tcW w:w="170" w:type="dxa"/>
            <w:tcBorders>
              <w:top w:val="single" w:sz="4" w:space="0" w:color="auto"/>
              <w:left w:val="single" w:sz="4" w:space="0" w:color="auto"/>
              <w:bottom w:val="single" w:sz="4" w:space="0" w:color="auto"/>
              <w:right w:val="single" w:sz="4" w:space="0" w:color="auto"/>
            </w:tcBorders>
            <w:shd w:val="clear" w:color="000000" w:fill="A0D7AF"/>
            <w:noWrap/>
            <w:vAlign w:val="bottom"/>
            <w:hideMark/>
          </w:tcPr>
          <w:p w14:paraId="6EA5623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0.134</w:t>
            </w:r>
          </w:p>
        </w:tc>
      </w:tr>
      <w:tr w:rsidR="00FC14BB" w:rsidRPr="00405EC9" w14:paraId="0FA0ACFB"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5A76EE0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w:t>
            </w:r>
          </w:p>
        </w:tc>
        <w:tc>
          <w:tcPr>
            <w:tcW w:w="170" w:type="dxa"/>
            <w:tcBorders>
              <w:top w:val="nil"/>
              <w:left w:val="nil"/>
              <w:bottom w:val="single" w:sz="4" w:space="0" w:color="auto"/>
              <w:right w:val="single" w:sz="4" w:space="0" w:color="auto"/>
            </w:tcBorders>
            <w:noWrap/>
            <w:vAlign w:val="bottom"/>
            <w:hideMark/>
          </w:tcPr>
          <w:p w14:paraId="1F96C91B"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Ludwig Maximilian University of Munich (Germany)</w:t>
            </w:r>
          </w:p>
        </w:tc>
        <w:tc>
          <w:tcPr>
            <w:tcW w:w="170"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76ADD19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15</w:t>
            </w:r>
          </w:p>
        </w:tc>
        <w:tc>
          <w:tcPr>
            <w:tcW w:w="170" w:type="dxa"/>
            <w:tcBorders>
              <w:top w:val="single" w:sz="4" w:space="0" w:color="auto"/>
              <w:left w:val="single" w:sz="4" w:space="0" w:color="auto"/>
              <w:bottom w:val="single" w:sz="4" w:space="0" w:color="auto"/>
              <w:right w:val="single" w:sz="4" w:space="0" w:color="auto"/>
            </w:tcBorders>
            <w:shd w:val="clear" w:color="000000" w:fill="C6E6D0"/>
            <w:noWrap/>
            <w:vAlign w:val="bottom"/>
            <w:hideMark/>
          </w:tcPr>
          <w:p w14:paraId="054F9F2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15</w:t>
            </w:r>
          </w:p>
        </w:tc>
        <w:tc>
          <w:tcPr>
            <w:tcW w:w="170" w:type="dxa"/>
            <w:tcBorders>
              <w:top w:val="single" w:sz="4" w:space="0" w:color="auto"/>
              <w:left w:val="single" w:sz="4" w:space="0" w:color="auto"/>
              <w:bottom w:val="single" w:sz="4" w:space="0" w:color="auto"/>
              <w:right w:val="single" w:sz="4" w:space="0" w:color="auto"/>
            </w:tcBorders>
            <w:shd w:val="clear" w:color="000000" w:fill="ABDBB9"/>
            <w:noWrap/>
            <w:vAlign w:val="bottom"/>
            <w:hideMark/>
          </w:tcPr>
          <w:p w14:paraId="5A9A2FB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0.497</w:t>
            </w:r>
          </w:p>
        </w:tc>
        <w:tc>
          <w:tcPr>
            <w:tcW w:w="170"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6825DD1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0.026</w:t>
            </w:r>
          </w:p>
        </w:tc>
      </w:tr>
      <w:tr w:rsidR="00FC14BB" w:rsidRPr="00405EC9" w14:paraId="52B61760"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2218CDE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8</w:t>
            </w:r>
          </w:p>
        </w:tc>
        <w:tc>
          <w:tcPr>
            <w:tcW w:w="170" w:type="dxa"/>
            <w:tcBorders>
              <w:top w:val="nil"/>
              <w:left w:val="nil"/>
              <w:bottom w:val="single" w:sz="4" w:space="0" w:color="auto"/>
              <w:right w:val="single" w:sz="4" w:space="0" w:color="auto"/>
            </w:tcBorders>
            <w:noWrap/>
            <w:vAlign w:val="bottom"/>
            <w:hideMark/>
          </w:tcPr>
          <w:p w14:paraId="2CA11EDF"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Natural Resources and Life Sciences, Vienna (Austria)</w:t>
            </w:r>
          </w:p>
        </w:tc>
        <w:tc>
          <w:tcPr>
            <w:tcW w:w="170"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3C2A0AB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15</w:t>
            </w:r>
          </w:p>
        </w:tc>
        <w:tc>
          <w:tcPr>
            <w:tcW w:w="17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3E9965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170" w:type="dxa"/>
            <w:tcBorders>
              <w:top w:val="single" w:sz="4" w:space="0" w:color="auto"/>
              <w:left w:val="single" w:sz="4" w:space="0" w:color="auto"/>
              <w:bottom w:val="single" w:sz="4" w:space="0" w:color="auto"/>
              <w:right w:val="single" w:sz="4" w:space="0" w:color="auto"/>
            </w:tcBorders>
            <w:shd w:val="clear" w:color="000000" w:fill="FBDDE0"/>
            <w:noWrap/>
            <w:vAlign w:val="bottom"/>
            <w:hideMark/>
          </w:tcPr>
          <w:p w14:paraId="2339B0F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0.361</w:t>
            </w:r>
          </w:p>
        </w:tc>
        <w:tc>
          <w:tcPr>
            <w:tcW w:w="170" w:type="dxa"/>
            <w:tcBorders>
              <w:top w:val="single" w:sz="4" w:space="0" w:color="auto"/>
              <w:left w:val="single" w:sz="4" w:space="0" w:color="auto"/>
              <w:bottom w:val="single" w:sz="4" w:space="0" w:color="auto"/>
              <w:right w:val="single" w:sz="4" w:space="0" w:color="auto"/>
            </w:tcBorders>
            <w:shd w:val="clear" w:color="000000" w:fill="C6E7D1"/>
            <w:noWrap/>
            <w:vAlign w:val="bottom"/>
            <w:hideMark/>
          </w:tcPr>
          <w:p w14:paraId="7745FAD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0.082</w:t>
            </w:r>
          </w:p>
        </w:tc>
      </w:tr>
      <w:tr w:rsidR="00FC14BB" w:rsidRPr="00405EC9" w14:paraId="2E848E10"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2EAB9A1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9</w:t>
            </w:r>
          </w:p>
        </w:tc>
        <w:tc>
          <w:tcPr>
            <w:tcW w:w="170" w:type="dxa"/>
            <w:tcBorders>
              <w:top w:val="nil"/>
              <w:left w:val="nil"/>
              <w:bottom w:val="single" w:sz="4" w:space="0" w:color="auto"/>
              <w:right w:val="single" w:sz="4" w:space="0" w:color="auto"/>
            </w:tcBorders>
            <w:noWrap/>
            <w:vAlign w:val="bottom"/>
            <w:hideMark/>
          </w:tcPr>
          <w:p w14:paraId="08441505"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Masaryk University (Czech Republic)</w:t>
            </w:r>
          </w:p>
        </w:tc>
        <w:tc>
          <w:tcPr>
            <w:tcW w:w="170" w:type="dxa"/>
            <w:tcBorders>
              <w:top w:val="single" w:sz="4" w:space="0" w:color="auto"/>
              <w:left w:val="single" w:sz="4" w:space="0" w:color="auto"/>
              <w:bottom w:val="single" w:sz="4" w:space="0" w:color="auto"/>
              <w:right w:val="single" w:sz="4" w:space="0" w:color="auto"/>
            </w:tcBorders>
            <w:shd w:val="clear" w:color="000000" w:fill="E2F2E9"/>
            <w:noWrap/>
            <w:vAlign w:val="bottom"/>
            <w:hideMark/>
          </w:tcPr>
          <w:p w14:paraId="36E7030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14</w:t>
            </w:r>
          </w:p>
        </w:tc>
        <w:tc>
          <w:tcPr>
            <w:tcW w:w="170" w:type="dxa"/>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576D30A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11</w:t>
            </w:r>
          </w:p>
        </w:tc>
        <w:tc>
          <w:tcPr>
            <w:tcW w:w="170" w:type="dxa"/>
            <w:tcBorders>
              <w:top w:val="single" w:sz="4" w:space="0" w:color="auto"/>
              <w:left w:val="single" w:sz="4" w:space="0" w:color="auto"/>
              <w:bottom w:val="single" w:sz="4" w:space="0" w:color="auto"/>
              <w:right w:val="single" w:sz="4" w:space="0" w:color="auto"/>
            </w:tcBorders>
            <w:shd w:val="clear" w:color="000000" w:fill="D7EDDF"/>
            <w:noWrap/>
            <w:vAlign w:val="bottom"/>
            <w:hideMark/>
          </w:tcPr>
          <w:p w14:paraId="12F0B7E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0.444</w:t>
            </w:r>
          </w:p>
        </w:tc>
        <w:tc>
          <w:tcPr>
            <w:tcW w:w="170" w:type="dxa"/>
            <w:tcBorders>
              <w:top w:val="single" w:sz="4" w:space="0" w:color="auto"/>
              <w:left w:val="single" w:sz="4" w:space="0" w:color="auto"/>
              <w:bottom w:val="single" w:sz="4" w:space="0" w:color="auto"/>
              <w:right w:val="single" w:sz="4" w:space="0" w:color="auto"/>
            </w:tcBorders>
            <w:shd w:val="clear" w:color="000000" w:fill="F3F9F8"/>
            <w:noWrap/>
            <w:vAlign w:val="bottom"/>
            <w:hideMark/>
          </w:tcPr>
          <w:p w14:paraId="37CC2A6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0.021</w:t>
            </w:r>
          </w:p>
        </w:tc>
      </w:tr>
      <w:tr w:rsidR="00FC14BB" w:rsidRPr="00405EC9" w14:paraId="71A410A6"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2E4AB5F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10</w:t>
            </w:r>
          </w:p>
        </w:tc>
        <w:tc>
          <w:tcPr>
            <w:tcW w:w="170" w:type="dxa"/>
            <w:tcBorders>
              <w:top w:val="nil"/>
              <w:left w:val="nil"/>
              <w:bottom w:val="single" w:sz="4" w:space="0" w:color="auto"/>
              <w:right w:val="single" w:sz="4" w:space="0" w:color="auto"/>
            </w:tcBorders>
            <w:noWrap/>
            <w:vAlign w:val="bottom"/>
            <w:hideMark/>
          </w:tcPr>
          <w:p w14:paraId="0333500C"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 xml:space="preserve">University of </w:t>
            </w:r>
            <w:proofErr w:type="spellStart"/>
            <w:r w:rsidRPr="00405EC9">
              <w:rPr>
                <w:rFonts w:eastAsia="Times New Roman" w:cs="Calibri"/>
                <w:color w:val="000000"/>
                <w:kern w:val="0"/>
                <w:sz w:val="16"/>
                <w:szCs w:val="16"/>
                <w14:ligatures w14:val="none"/>
              </w:rPr>
              <w:t>Tuebingen</w:t>
            </w:r>
            <w:proofErr w:type="spellEnd"/>
            <w:r w:rsidRPr="00405EC9">
              <w:rPr>
                <w:rFonts w:eastAsia="Times New Roman" w:cs="Calibri"/>
                <w:color w:val="000000"/>
                <w:kern w:val="0"/>
                <w:sz w:val="16"/>
                <w:szCs w:val="16"/>
                <w14:ligatures w14:val="none"/>
              </w:rPr>
              <w:t xml:space="preserve"> (Germany)</w:t>
            </w:r>
          </w:p>
        </w:tc>
        <w:tc>
          <w:tcPr>
            <w:tcW w:w="170" w:type="dxa"/>
            <w:tcBorders>
              <w:top w:val="single" w:sz="4" w:space="0" w:color="auto"/>
              <w:left w:val="single" w:sz="4" w:space="0" w:color="auto"/>
              <w:bottom w:val="single" w:sz="4" w:space="0" w:color="auto"/>
              <w:right w:val="single" w:sz="4" w:space="0" w:color="auto"/>
            </w:tcBorders>
            <w:shd w:val="clear" w:color="000000" w:fill="E5F3EB"/>
            <w:noWrap/>
            <w:vAlign w:val="bottom"/>
            <w:hideMark/>
          </w:tcPr>
          <w:p w14:paraId="6292A03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13</w:t>
            </w:r>
          </w:p>
        </w:tc>
        <w:tc>
          <w:tcPr>
            <w:tcW w:w="170" w:type="dxa"/>
            <w:tcBorders>
              <w:top w:val="single" w:sz="4" w:space="0" w:color="auto"/>
              <w:left w:val="single" w:sz="4" w:space="0" w:color="auto"/>
              <w:bottom w:val="single" w:sz="4" w:space="0" w:color="auto"/>
              <w:right w:val="single" w:sz="4" w:space="0" w:color="auto"/>
            </w:tcBorders>
            <w:shd w:val="clear" w:color="000000" w:fill="B0DDBD"/>
            <w:noWrap/>
            <w:vAlign w:val="bottom"/>
            <w:hideMark/>
          </w:tcPr>
          <w:p w14:paraId="2E1A5A1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19</w:t>
            </w:r>
          </w:p>
        </w:tc>
        <w:tc>
          <w:tcPr>
            <w:tcW w:w="170" w:type="dxa"/>
            <w:tcBorders>
              <w:top w:val="single" w:sz="4" w:space="0" w:color="auto"/>
              <w:left w:val="single" w:sz="4" w:space="0" w:color="auto"/>
              <w:bottom w:val="single" w:sz="4" w:space="0" w:color="auto"/>
              <w:right w:val="single" w:sz="4" w:space="0" w:color="auto"/>
            </w:tcBorders>
            <w:shd w:val="clear" w:color="000000" w:fill="A8DAB6"/>
            <w:noWrap/>
            <w:vAlign w:val="bottom"/>
            <w:hideMark/>
          </w:tcPr>
          <w:p w14:paraId="43FF26F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0.500</w:t>
            </w:r>
          </w:p>
        </w:tc>
        <w:tc>
          <w:tcPr>
            <w:tcW w:w="170"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2E864F7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0.048</w:t>
            </w:r>
          </w:p>
        </w:tc>
      </w:tr>
      <w:tr w:rsidR="00FC14BB" w:rsidRPr="00405EC9" w14:paraId="2F46A5B7"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3E1FB0E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11</w:t>
            </w:r>
          </w:p>
        </w:tc>
        <w:tc>
          <w:tcPr>
            <w:tcW w:w="170" w:type="dxa"/>
            <w:tcBorders>
              <w:top w:val="nil"/>
              <w:left w:val="nil"/>
              <w:bottom w:val="single" w:sz="4" w:space="0" w:color="auto"/>
              <w:right w:val="single" w:sz="4" w:space="0" w:color="auto"/>
            </w:tcBorders>
            <w:noWrap/>
            <w:vAlign w:val="bottom"/>
            <w:hideMark/>
          </w:tcPr>
          <w:p w14:paraId="60D19C40"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Jozef Stefan Institute (Slovenia)</w:t>
            </w:r>
          </w:p>
        </w:tc>
        <w:tc>
          <w:tcPr>
            <w:tcW w:w="170" w:type="dxa"/>
            <w:tcBorders>
              <w:top w:val="single" w:sz="4" w:space="0" w:color="auto"/>
              <w:left w:val="single" w:sz="4" w:space="0" w:color="auto"/>
              <w:bottom w:val="single" w:sz="4" w:space="0" w:color="auto"/>
              <w:right w:val="single" w:sz="4" w:space="0" w:color="auto"/>
            </w:tcBorders>
            <w:shd w:val="clear" w:color="000000" w:fill="EAF5F0"/>
            <w:noWrap/>
            <w:vAlign w:val="bottom"/>
            <w:hideMark/>
          </w:tcPr>
          <w:p w14:paraId="64642E6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11</w:t>
            </w:r>
          </w:p>
        </w:tc>
        <w:tc>
          <w:tcPr>
            <w:tcW w:w="170" w:type="dxa"/>
            <w:tcBorders>
              <w:top w:val="single" w:sz="4" w:space="0" w:color="auto"/>
              <w:left w:val="single" w:sz="4" w:space="0" w:color="auto"/>
              <w:bottom w:val="single" w:sz="4" w:space="0" w:color="auto"/>
              <w:right w:val="single" w:sz="4" w:space="0" w:color="auto"/>
            </w:tcBorders>
            <w:shd w:val="clear" w:color="000000" w:fill="9AD5AB"/>
            <w:noWrap/>
            <w:vAlign w:val="bottom"/>
            <w:hideMark/>
          </w:tcPr>
          <w:p w14:paraId="7254CF2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23</w:t>
            </w:r>
          </w:p>
        </w:tc>
        <w:tc>
          <w:tcPr>
            <w:tcW w:w="170" w:type="dxa"/>
            <w:tcBorders>
              <w:top w:val="single" w:sz="4" w:space="0" w:color="auto"/>
              <w:left w:val="single" w:sz="4" w:space="0" w:color="auto"/>
              <w:bottom w:val="single" w:sz="4" w:space="0" w:color="auto"/>
              <w:right w:val="single" w:sz="4" w:space="0" w:color="auto"/>
            </w:tcBorders>
            <w:shd w:val="clear" w:color="000000" w:fill="99D4AA"/>
            <w:noWrap/>
            <w:vAlign w:val="bottom"/>
            <w:hideMark/>
          </w:tcPr>
          <w:p w14:paraId="3A9BEBA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0.517</w:t>
            </w:r>
          </w:p>
        </w:tc>
        <w:tc>
          <w:tcPr>
            <w:tcW w:w="170" w:type="dxa"/>
            <w:tcBorders>
              <w:top w:val="single" w:sz="4" w:space="0" w:color="auto"/>
              <w:left w:val="single" w:sz="4" w:space="0" w:color="auto"/>
              <w:bottom w:val="single" w:sz="4" w:space="0" w:color="auto"/>
              <w:right w:val="single" w:sz="4" w:space="0" w:color="auto"/>
            </w:tcBorders>
            <w:shd w:val="clear" w:color="000000" w:fill="D0EBD9"/>
            <w:noWrap/>
            <w:vAlign w:val="bottom"/>
            <w:hideMark/>
          </w:tcPr>
          <w:p w14:paraId="0AAD23E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0.068</w:t>
            </w:r>
          </w:p>
        </w:tc>
      </w:tr>
      <w:tr w:rsidR="00FC14BB" w:rsidRPr="00405EC9" w14:paraId="3AC6209E"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445026A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12</w:t>
            </w:r>
          </w:p>
        </w:tc>
        <w:tc>
          <w:tcPr>
            <w:tcW w:w="170" w:type="dxa"/>
            <w:tcBorders>
              <w:top w:val="nil"/>
              <w:left w:val="nil"/>
              <w:bottom w:val="single" w:sz="4" w:space="0" w:color="auto"/>
              <w:right w:val="single" w:sz="4" w:space="0" w:color="auto"/>
            </w:tcBorders>
            <w:noWrap/>
            <w:vAlign w:val="bottom"/>
            <w:hideMark/>
          </w:tcPr>
          <w:p w14:paraId="51E8F32C"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Freiburg (Germany)</w:t>
            </w:r>
          </w:p>
        </w:tc>
        <w:tc>
          <w:tcPr>
            <w:tcW w:w="170"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70C5B28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10</w:t>
            </w:r>
          </w:p>
        </w:tc>
        <w:tc>
          <w:tcPr>
            <w:tcW w:w="170" w:type="dxa"/>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6B5ED32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9</w:t>
            </w:r>
          </w:p>
        </w:tc>
        <w:tc>
          <w:tcPr>
            <w:tcW w:w="170" w:type="dxa"/>
            <w:tcBorders>
              <w:top w:val="single" w:sz="4" w:space="0" w:color="auto"/>
              <w:left w:val="single" w:sz="4" w:space="0" w:color="auto"/>
              <w:bottom w:val="single" w:sz="4" w:space="0" w:color="auto"/>
              <w:right w:val="single" w:sz="4" w:space="0" w:color="auto"/>
            </w:tcBorders>
            <w:shd w:val="clear" w:color="000000" w:fill="DDF0E5"/>
            <w:noWrap/>
            <w:vAlign w:val="bottom"/>
            <w:hideMark/>
          </w:tcPr>
          <w:p w14:paraId="2FD8B2E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0.436</w:t>
            </w:r>
          </w:p>
        </w:tc>
        <w:tc>
          <w:tcPr>
            <w:tcW w:w="17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531E8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0.009</w:t>
            </w:r>
          </w:p>
        </w:tc>
      </w:tr>
      <w:tr w:rsidR="00FC14BB" w:rsidRPr="00405EC9" w14:paraId="194FD2F3"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5DDE1A8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13</w:t>
            </w:r>
          </w:p>
        </w:tc>
        <w:tc>
          <w:tcPr>
            <w:tcW w:w="170" w:type="dxa"/>
            <w:tcBorders>
              <w:top w:val="nil"/>
              <w:left w:val="nil"/>
              <w:bottom w:val="single" w:sz="4" w:space="0" w:color="auto"/>
              <w:right w:val="single" w:sz="4" w:space="0" w:color="auto"/>
            </w:tcBorders>
            <w:noWrap/>
            <w:vAlign w:val="bottom"/>
            <w:hideMark/>
          </w:tcPr>
          <w:p w14:paraId="2CAB76D2"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Karlsruhe Institute of Technology (Germany)</w:t>
            </w:r>
          </w:p>
        </w:tc>
        <w:tc>
          <w:tcPr>
            <w:tcW w:w="170"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48FA135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10</w:t>
            </w:r>
          </w:p>
        </w:tc>
        <w:tc>
          <w:tcPr>
            <w:tcW w:w="170" w:type="dxa"/>
            <w:tcBorders>
              <w:top w:val="single" w:sz="4" w:space="0" w:color="auto"/>
              <w:left w:val="single" w:sz="4" w:space="0" w:color="auto"/>
              <w:bottom w:val="single" w:sz="4" w:space="0" w:color="auto"/>
              <w:right w:val="single" w:sz="4" w:space="0" w:color="auto"/>
            </w:tcBorders>
            <w:shd w:val="clear" w:color="000000" w:fill="D1EBDA"/>
            <w:noWrap/>
            <w:vAlign w:val="bottom"/>
            <w:hideMark/>
          </w:tcPr>
          <w:p w14:paraId="3CC5655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13</w:t>
            </w:r>
          </w:p>
        </w:tc>
        <w:tc>
          <w:tcPr>
            <w:tcW w:w="170" w:type="dxa"/>
            <w:tcBorders>
              <w:top w:val="single" w:sz="4" w:space="0" w:color="auto"/>
              <w:left w:val="single" w:sz="4" w:space="0" w:color="auto"/>
              <w:bottom w:val="single" w:sz="4" w:space="0" w:color="auto"/>
              <w:right w:val="single" w:sz="4" w:space="0" w:color="auto"/>
            </w:tcBorders>
            <w:shd w:val="clear" w:color="000000" w:fill="BDE3C9"/>
            <w:noWrap/>
            <w:vAlign w:val="bottom"/>
            <w:hideMark/>
          </w:tcPr>
          <w:p w14:paraId="7BCCDDC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0.475</w:t>
            </w:r>
          </w:p>
        </w:tc>
        <w:tc>
          <w:tcPr>
            <w:tcW w:w="170"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7D64A66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0.029</w:t>
            </w:r>
          </w:p>
        </w:tc>
      </w:tr>
      <w:tr w:rsidR="00FC14BB" w:rsidRPr="00405EC9" w14:paraId="45E0F172"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265C638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14</w:t>
            </w:r>
          </w:p>
        </w:tc>
        <w:tc>
          <w:tcPr>
            <w:tcW w:w="170" w:type="dxa"/>
            <w:tcBorders>
              <w:top w:val="nil"/>
              <w:left w:val="nil"/>
              <w:bottom w:val="single" w:sz="4" w:space="0" w:color="auto"/>
              <w:right w:val="single" w:sz="4" w:space="0" w:color="auto"/>
            </w:tcBorders>
            <w:noWrap/>
            <w:vAlign w:val="bottom"/>
            <w:hideMark/>
          </w:tcPr>
          <w:p w14:paraId="41643007"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National Institute of Chemistry (Slovenia)</w:t>
            </w:r>
          </w:p>
        </w:tc>
        <w:tc>
          <w:tcPr>
            <w:tcW w:w="170"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3B93568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10</w:t>
            </w:r>
          </w:p>
        </w:tc>
        <w:tc>
          <w:tcPr>
            <w:tcW w:w="170"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1E6B7F0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70"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1CF48D9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0.395</w:t>
            </w:r>
          </w:p>
        </w:tc>
        <w:tc>
          <w:tcPr>
            <w:tcW w:w="170" w:type="dxa"/>
            <w:tcBorders>
              <w:top w:val="single" w:sz="4" w:space="0" w:color="auto"/>
              <w:left w:val="single" w:sz="4" w:space="0" w:color="auto"/>
              <w:bottom w:val="single" w:sz="4" w:space="0" w:color="auto"/>
              <w:right w:val="single" w:sz="4" w:space="0" w:color="auto"/>
            </w:tcBorders>
            <w:shd w:val="clear" w:color="000000" w:fill="F86B6D"/>
            <w:noWrap/>
            <w:vAlign w:val="bottom"/>
            <w:hideMark/>
          </w:tcPr>
          <w:p w14:paraId="6CE91BE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26BD584E"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619B6B9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15</w:t>
            </w:r>
          </w:p>
        </w:tc>
        <w:tc>
          <w:tcPr>
            <w:tcW w:w="170" w:type="dxa"/>
            <w:tcBorders>
              <w:top w:val="nil"/>
              <w:left w:val="nil"/>
              <w:bottom w:val="single" w:sz="4" w:space="0" w:color="auto"/>
              <w:right w:val="single" w:sz="4" w:space="0" w:color="auto"/>
            </w:tcBorders>
            <w:noWrap/>
            <w:vAlign w:val="bottom"/>
            <w:hideMark/>
          </w:tcPr>
          <w:p w14:paraId="227C77FF"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Helmholtz Munich – Center for Environmental Health (Germany)</w:t>
            </w:r>
          </w:p>
        </w:tc>
        <w:tc>
          <w:tcPr>
            <w:tcW w:w="170"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1C14452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10</w:t>
            </w:r>
          </w:p>
        </w:tc>
        <w:tc>
          <w:tcPr>
            <w:tcW w:w="170"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50AEE3D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170" w:type="dxa"/>
            <w:tcBorders>
              <w:top w:val="single" w:sz="4" w:space="0" w:color="auto"/>
              <w:left w:val="single" w:sz="4" w:space="0" w:color="auto"/>
              <w:bottom w:val="single" w:sz="4" w:space="0" w:color="auto"/>
              <w:right w:val="single" w:sz="4" w:space="0" w:color="auto"/>
            </w:tcBorders>
            <w:shd w:val="clear" w:color="000000" w:fill="FBDADD"/>
            <w:noWrap/>
            <w:vAlign w:val="bottom"/>
            <w:hideMark/>
          </w:tcPr>
          <w:p w14:paraId="606822D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0.357</w:t>
            </w:r>
          </w:p>
        </w:tc>
        <w:tc>
          <w:tcPr>
            <w:tcW w:w="170" w:type="dxa"/>
            <w:tcBorders>
              <w:top w:val="single" w:sz="4" w:space="0" w:color="auto"/>
              <w:left w:val="single" w:sz="4" w:space="0" w:color="auto"/>
              <w:bottom w:val="single" w:sz="4" w:space="0" w:color="auto"/>
              <w:right w:val="single" w:sz="4" w:space="0" w:color="auto"/>
            </w:tcBorders>
            <w:shd w:val="clear" w:color="000000" w:fill="F9A0A3"/>
            <w:noWrap/>
            <w:vAlign w:val="bottom"/>
            <w:hideMark/>
          </w:tcPr>
          <w:p w14:paraId="160DB3F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0.003</w:t>
            </w:r>
          </w:p>
        </w:tc>
      </w:tr>
      <w:tr w:rsidR="00FC14BB" w:rsidRPr="00405EC9" w14:paraId="696C7B55"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48F178C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16</w:t>
            </w:r>
          </w:p>
        </w:tc>
        <w:tc>
          <w:tcPr>
            <w:tcW w:w="170" w:type="dxa"/>
            <w:tcBorders>
              <w:top w:val="nil"/>
              <w:left w:val="nil"/>
              <w:bottom w:val="single" w:sz="4" w:space="0" w:color="auto"/>
              <w:right w:val="single" w:sz="4" w:space="0" w:color="auto"/>
            </w:tcBorders>
            <w:noWrap/>
            <w:vAlign w:val="bottom"/>
            <w:hideMark/>
          </w:tcPr>
          <w:p w14:paraId="72B47A2F"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Ljubljana (Slovenia)</w:t>
            </w:r>
          </w:p>
        </w:tc>
        <w:tc>
          <w:tcPr>
            <w:tcW w:w="170"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10C046E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9</w:t>
            </w:r>
          </w:p>
        </w:tc>
        <w:tc>
          <w:tcPr>
            <w:tcW w:w="170" w:type="dxa"/>
            <w:tcBorders>
              <w:top w:val="single" w:sz="4" w:space="0" w:color="auto"/>
              <w:left w:val="single" w:sz="4" w:space="0" w:color="auto"/>
              <w:bottom w:val="single" w:sz="4" w:space="0" w:color="auto"/>
              <w:right w:val="single" w:sz="4" w:space="0" w:color="auto"/>
            </w:tcBorders>
            <w:shd w:val="clear" w:color="000000" w:fill="C0E4CC"/>
            <w:noWrap/>
            <w:vAlign w:val="bottom"/>
            <w:hideMark/>
          </w:tcPr>
          <w:p w14:paraId="3B6BC52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16</w:t>
            </w:r>
          </w:p>
        </w:tc>
        <w:tc>
          <w:tcPr>
            <w:tcW w:w="170" w:type="dxa"/>
            <w:tcBorders>
              <w:top w:val="single" w:sz="4" w:space="0" w:color="auto"/>
              <w:left w:val="single" w:sz="4" w:space="0" w:color="auto"/>
              <w:bottom w:val="single" w:sz="4" w:space="0" w:color="auto"/>
              <w:right w:val="single" w:sz="4" w:space="0" w:color="auto"/>
            </w:tcBorders>
            <w:shd w:val="clear" w:color="000000" w:fill="C9E8D3"/>
            <w:noWrap/>
            <w:vAlign w:val="bottom"/>
            <w:hideMark/>
          </w:tcPr>
          <w:p w14:paraId="3076875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0.460</w:t>
            </w:r>
          </w:p>
        </w:tc>
        <w:tc>
          <w:tcPr>
            <w:tcW w:w="170" w:type="dxa"/>
            <w:tcBorders>
              <w:top w:val="single" w:sz="4" w:space="0" w:color="auto"/>
              <w:left w:val="single" w:sz="4" w:space="0" w:color="auto"/>
              <w:bottom w:val="single" w:sz="4" w:space="0" w:color="auto"/>
              <w:right w:val="single" w:sz="4" w:space="0" w:color="auto"/>
            </w:tcBorders>
            <w:shd w:val="clear" w:color="000000" w:fill="F8FBFB"/>
            <w:noWrap/>
            <w:vAlign w:val="bottom"/>
            <w:hideMark/>
          </w:tcPr>
          <w:p w14:paraId="4E31D95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0.015</w:t>
            </w:r>
          </w:p>
        </w:tc>
      </w:tr>
      <w:tr w:rsidR="00FC14BB" w:rsidRPr="00405EC9" w14:paraId="3DC0020A"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01C44EB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17</w:t>
            </w:r>
          </w:p>
        </w:tc>
        <w:tc>
          <w:tcPr>
            <w:tcW w:w="170" w:type="dxa"/>
            <w:tcBorders>
              <w:top w:val="nil"/>
              <w:left w:val="nil"/>
              <w:bottom w:val="single" w:sz="4" w:space="0" w:color="auto"/>
              <w:right w:val="single" w:sz="4" w:space="0" w:color="auto"/>
            </w:tcBorders>
            <w:noWrap/>
            <w:vAlign w:val="bottom"/>
            <w:hideMark/>
          </w:tcPr>
          <w:p w14:paraId="630C65FF"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Julius Maximilian University of Wuerzburg (Germany)</w:t>
            </w:r>
          </w:p>
        </w:tc>
        <w:tc>
          <w:tcPr>
            <w:tcW w:w="170"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6DB1C53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9</w:t>
            </w:r>
          </w:p>
        </w:tc>
        <w:tc>
          <w:tcPr>
            <w:tcW w:w="170"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57E8078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w:t>
            </w:r>
          </w:p>
        </w:tc>
        <w:tc>
          <w:tcPr>
            <w:tcW w:w="170" w:type="dxa"/>
            <w:tcBorders>
              <w:top w:val="single" w:sz="4" w:space="0" w:color="auto"/>
              <w:left w:val="single" w:sz="4" w:space="0" w:color="auto"/>
              <w:bottom w:val="single" w:sz="4" w:space="0" w:color="auto"/>
              <w:right w:val="single" w:sz="4" w:space="0" w:color="auto"/>
            </w:tcBorders>
            <w:shd w:val="clear" w:color="000000" w:fill="E2F2E8"/>
            <w:noWrap/>
            <w:vAlign w:val="bottom"/>
            <w:hideMark/>
          </w:tcPr>
          <w:p w14:paraId="7B75AE9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0.431</w:t>
            </w:r>
          </w:p>
        </w:tc>
        <w:tc>
          <w:tcPr>
            <w:tcW w:w="170"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6CB6D96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0.031</w:t>
            </w:r>
          </w:p>
        </w:tc>
      </w:tr>
      <w:tr w:rsidR="00FC14BB" w:rsidRPr="00405EC9" w14:paraId="6D2E3D5B"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0A1B129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18</w:t>
            </w:r>
          </w:p>
        </w:tc>
        <w:tc>
          <w:tcPr>
            <w:tcW w:w="170" w:type="dxa"/>
            <w:tcBorders>
              <w:top w:val="nil"/>
              <w:left w:val="nil"/>
              <w:bottom w:val="single" w:sz="4" w:space="0" w:color="auto"/>
              <w:right w:val="single" w:sz="4" w:space="0" w:color="auto"/>
            </w:tcBorders>
            <w:noWrap/>
            <w:vAlign w:val="bottom"/>
            <w:hideMark/>
          </w:tcPr>
          <w:p w14:paraId="4BA45C2E"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Pensoft Publishers (Bulgaria)</w:t>
            </w:r>
          </w:p>
        </w:tc>
        <w:tc>
          <w:tcPr>
            <w:tcW w:w="170"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7B71353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8</w:t>
            </w:r>
          </w:p>
        </w:tc>
        <w:tc>
          <w:tcPr>
            <w:tcW w:w="170"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4112628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w:t>
            </w:r>
          </w:p>
        </w:tc>
        <w:tc>
          <w:tcPr>
            <w:tcW w:w="170"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795ACB0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0.401</w:t>
            </w:r>
          </w:p>
        </w:tc>
        <w:tc>
          <w:tcPr>
            <w:tcW w:w="170"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2B2CB52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0.010</w:t>
            </w:r>
          </w:p>
        </w:tc>
      </w:tr>
      <w:tr w:rsidR="00FC14BB" w:rsidRPr="00405EC9" w14:paraId="06788556"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21F4C1F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19</w:t>
            </w:r>
          </w:p>
        </w:tc>
        <w:tc>
          <w:tcPr>
            <w:tcW w:w="170" w:type="dxa"/>
            <w:tcBorders>
              <w:top w:val="nil"/>
              <w:left w:val="nil"/>
              <w:bottom w:val="single" w:sz="4" w:space="0" w:color="auto"/>
              <w:right w:val="single" w:sz="4" w:space="0" w:color="auto"/>
            </w:tcBorders>
            <w:noWrap/>
            <w:vAlign w:val="bottom"/>
            <w:hideMark/>
          </w:tcPr>
          <w:p w14:paraId="45C329E1"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Czech University of Life Sciences Prague (Czech Republic)</w:t>
            </w:r>
          </w:p>
        </w:tc>
        <w:tc>
          <w:tcPr>
            <w:tcW w:w="170" w:type="dxa"/>
            <w:tcBorders>
              <w:top w:val="single" w:sz="4" w:space="0" w:color="auto"/>
              <w:left w:val="single" w:sz="4" w:space="0" w:color="auto"/>
              <w:bottom w:val="single" w:sz="4" w:space="0" w:color="auto"/>
              <w:right w:val="single" w:sz="4" w:space="0" w:color="auto"/>
            </w:tcBorders>
            <w:shd w:val="clear" w:color="000000" w:fill="F5F9F9"/>
            <w:noWrap/>
            <w:vAlign w:val="bottom"/>
            <w:hideMark/>
          </w:tcPr>
          <w:p w14:paraId="6B2A793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w:t>
            </w:r>
          </w:p>
        </w:tc>
        <w:tc>
          <w:tcPr>
            <w:tcW w:w="170" w:type="dxa"/>
            <w:tcBorders>
              <w:top w:val="single" w:sz="4" w:space="0" w:color="auto"/>
              <w:left w:val="single" w:sz="4" w:space="0" w:color="auto"/>
              <w:bottom w:val="single" w:sz="4" w:space="0" w:color="auto"/>
              <w:right w:val="single" w:sz="4" w:space="0" w:color="auto"/>
            </w:tcBorders>
            <w:shd w:val="clear" w:color="000000" w:fill="CBE9D5"/>
            <w:noWrap/>
            <w:vAlign w:val="bottom"/>
            <w:hideMark/>
          </w:tcPr>
          <w:p w14:paraId="577878E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14</w:t>
            </w:r>
          </w:p>
        </w:tc>
        <w:tc>
          <w:tcPr>
            <w:tcW w:w="170" w:type="dxa"/>
            <w:tcBorders>
              <w:top w:val="single" w:sz="4" w:space="0" w:color="auto"/>
              <w:left w:val="single" w:sz="4" w:space="0" w:color="auto"/>
              <w:bottom w:val="single" w:sz="4" w:space="0" w:color="auto"/>
              <w:right w:val="single" w:sz="4" w:space="0" w:color="auto"/>
            </w:tcBorders>
            <w:shd w:val="clear" w:color="000000" w:fill="C4E6CF"/>
            <w:noWrap/>
            <w:vAlign w:val="bottom"/>
            <w:hideMark/>
          </w:tcPr>
          <w:p w14:paraId="43C3655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0.466</w:t>
            </w:r>
          </w:p>
        </w:tc>
        <w:tc>
          <w:tcPr>
            <w:tcW w:w="170" w:type="dxa"/>
            <w:tcBorders>
              <w:top w:val="single" w:sz="4" w:space="0" w:color="auto"/>
              <w:left w:val="single" w:sz="4" w:space="0" w:color="auto"/>
              <w:bottom w:val="single" w:sz="4" w:space="0" w:color="auto"/>
              <w:right w:val="single" w:sz="4" w:space="0" w:color="auto"/>
            </w:tcBorders>
            <w:shd w:val="clear" w:color="000000" w:fill="F1F8F6"/>
            <w:noWrap/>
            <w:vAlign w:val="bottom"/>
            <w:hideMark/>
          </w:tcPr>
          <w:p w14:paraId="3A13037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0.024</w:t>
            </w:r>
          </w:p>
        </w:tc>
      </w:tr>
      <w:tr w:rsidR="00FC14BB" w:rsidRPr="00405EC9" w14:paraId="3D105D52"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589FE1F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20</w:t>
            </w:r>
          </w:p>
        </w:tc>
        <w:tc>
          <w:tcPr>
            <w:tcW w:w="170" w:type="dxa"/>
            <w:tcBorders>
              <w:top w:val="nil"/>
              <w:left w:val="nil"/>
              <w:bottom w:val="single" w:sz="4" w:space="0" w:color="auto"/>
              <w:right w:val="single" w:sz="4" w:space="0" w:color="auto"/>
            </w:tcBorders>
            <w:noWrap/>
            <w:vAlign w:val="bottom"/>
            <w:hideMark/>
          </w:tcPr>
          <w:p w14:paraId="08ABF97A"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Heidelberg University (Germany)</w:t>
            </w:r>
          </w:p>
        </w:tc>
        <w:tc>
          <w:tcPr>
            <w:tcW w:w="170" w:type="dxa"/>
            <w:tcBorders>
              <w:top w:val="single" w:sz="4" w:space="0" w:color="auto"/>
              <w:left w:val="single" w:sz="4" w:space="0" w:color="auto"/>
              <w:bottom w:val="single" w:sz="4" w:space="0" w:color="auto"/>
              <w:right w:val="single" w:sz="4" w:space="0" w:color="auto"/>
            </w:tcBorders>
            <w:shd w:val="clear" w:color="000000" w:fill="F5F9F9"/>
            <w:noWrap/>
            <w:vAlign w:val="bottom"/>
            <w:hideMark/>
          </w:tcPr>
          <w:p w14:paraId="488E7AC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w:t>
            </w:r>
          </w:p>
        </w:tc>
        <w:tc>
          <w:tcPr>
            <w:tcW w:w="170"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1D08629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170" w:type="dxa"/>
            <w:tcBorders>
              <w:top w:val="single" w:sz="4" w:space="0" w:color="auto"/>
              <w:left w:val="single" w:sz="4" w:space="0" w:color="auto"/>
              <w:bottom w:val="single" w:sz="4" w:space="0" w:color="auto"/>
              <w:right w:val="single" w:sz="4" w:space="0" w:color="auto"/>
            </w:tcBorders>
            <w:shd w:val="clear" w:color="000000" w:fill="FBDADD"/>
            <w:noWrap/>
            <w:vAlign w:val="bottom"/>
            <w:hideMark/>
          </w:tcPr>
          <w:p w14:paraId="65BABC8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0.357</w:t>
            </w:r>
          </w:p>
        </w:tc>
        <w:tc>
          <w:tcPr>
            <w:tcW w:w="170" w:type="dxa"/>
            <w:tcBorders>
              <w:top w:val="single" w:sz="4" w:space="0" w:color="auto"/>
              <w:left w:val="single" w:sz="4" w:space="0" w:color="auto"/>
              <w:bottom w:val="single" w:sz="4" w:space="0" w:color="auto"/>
              <w:right w:val="single" w:sz="4" w:space="0" w:color="auto"/>
            </w:tcBorders>
            <w:shd w:val="clear" w:color="000000" w:fill="F86D6F"/>
            <w:noWrap/>
            <w:vAlign w:val="bottom"/>
            <w:hideMark/>
          </w:tcPr>
          <w:p w14:paraId="47DE7A8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1C580409" w14:textId="77777777" w:rsidTr="00FC14BB">
        <w:trPr>
          <w:trHeight w:val="170"/>
        </w:trPr>
        <w:tc>
          <w:tcPr>
            <w:tcW w:w="170" w:type="dxa"/>
            <w:tcBorders>
              <w:top w:val="nil"/>
              <w:left w:val="single" w:sz="4" w:space="0" w:color="auto"/>
              <w:bottom w:val="single" w:sz="4" w:space="0" w:color="auto"/>
              <w:right w:val="single" w:sz="4" w:space="0" w:color="auto"/>
            </w:tcBorders>
            <w:noWrap/>
            <w:vAlign w:val="bottom"/>
            <w:hideMark/>
          </w:tcPr>
          <w:p w14:paraId="37D8F46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21</w:t>
            </w:r>
          </w:p>
        </w:tc>
        <w:tc>
          <w:tcPr>
            <w:tcW w:w="170" w:type="dxa"/>
            <w:tcBorders>
              <w:top w:val="nil"/>
              <w:left w:val="nil"/>
              <w:bottom w:val="single" w:sz="4" w:space="0" w:color="auto"/>
              <w:right w:val="single" w:sz="4" w:space="0" w:color="auto"/>
            </w:tcBorders>
            <w:noWrap/>
            <w:vAlign w:val="bottom"/>
            <w:hideMark/>
          </w:tcPr>
          <w:p w14:paraId="1925A0B7"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Medical University of Vienna (Austria)</w:t>
            </w:r>
          </w:p>
        </w:tc>
        <w:tc>
          <w:tcPr>
            <w:tcW w:w="170"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539338E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w:t>
            </w:r>
          </w:p>
        </w:tc>
        <w:tc>
          <w:tcPr>
            <w:tcW w:w="170"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51FB37D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70" w:type="dxa"/>
            <w:tcBorders>
              <w:top w:val="single" w:sz="4" w:space="0" w:color="auto"/>
              <w:left w:val="single" w:sz="4" w:space="0" w:color="auto"/>
              <w:bottom w:val="single" w:sz="4" w:space="0" w:color="auto"/>
              <w:right w:val="single" w:sz="4" w:space="0" w:color="auto"/>
            </w:tcBorders>
            <w:shd w:val="clear" w:color="000000" w:fill="FBE0E3"/>
            <w:noWrap/>
            <w:vAlign w:val="bottom"/>
            <w:hideMark/>
          </w:tcPr>
          <w:p w14:paraId="2D99C38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0.364</w:t>
            </w:r>
          </w:p>
        </w:tc>
        <w:tc>
          <w:tcPr>
            <w:tcW w:w="170" w:type="dxa"/>
            <w:tcBorders>
              <w:top w:val="single" w:sz="4" w:space="0" w:color="auto"/>
              <w:left w:val="single" w:sz="4" w:space="0" w:color="auto"/>
              <w:bottom w:val="single" w:sz="4" w:space="0" w:color="auto"/>
              <w:right w:val="single" w:sz="4" w:space="0" w:color="auto"/>
            </w:tcBorders>
            <w:shd w:val="clear" w:color="000000" w:fill="F9AFB2"/>
            <w:noWrap/>
            <w:vAlign w:val="bottom"/>
            <w:hideMark/>
          </w:tcPr>
          <w:p w14:paraId="7EEE705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0.004</w:t>
            </w:r>
          </w:p>
        </w:tc>
      </w:tr>
      <w:tr w:rsidR="00FC14BB" w:rsidRPr="00405EC9" w14:paraId="45965518" w14:textId="77777777" w:rsidTr="00FC14BB">
        <w:trPr>
          <w:trHeight w:val="288"/>
        </w:trPr>
        <w:tc>
          <w:tcPr>
            <w:tcW w:w="400" w:type="dxa"/>
            <w:tcBorders>
              <w:top w:val="nil"/>
              <w:left w:val="single" w:sz="4" w:space="0" w:color="auto"/>
              <w:bottom w:val="single" w:sz="4" w:space="0" w:color="auto"/>
              <w:right w:val="single" w:sz="4" w:space="0" w:color="auto"/>
            </w:tcBorders>
            <w:noWrap/>
            <w:vAlign w:val="bottom"/>
            <w:hideMark/>
          </w:tcPr>
          <w:p w14:paraId="779F85B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22</w:t>
            </w:r>
          </w:p>
        </w:tc>
        <w:tc>
          <w:tcPr>
            <w:tcW w:w="4840" w:type="dxa"/>
            <w:tcBorders>
              <w:top w:val="nil"/>
              <w:left w:val="nil"/>
              <w:bottom w:val="single" w:sz="4" w:space="0" w:color="auto"/>
              <w:right w:val="single" w:sz="4" w:space="0" w:color="auto"/>
            </w:tcBorders>
            <w:noWrap/>
            <w:vAlign w:val="bottom"/>
            <w:hideMark/>
          </w:tcPr>
          <w:p w14:paraId="3DD8A886"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Institute of Organic Chemistry and Biochemistry, Czech Academy of Sciences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3BC5F29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w:t>
            </w:r>
          </w:p>
        </w:tc>
        <w:tc>
          <w:tcPr>
            <w:tcW w:w="116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33F9A4B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98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B30C9F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0.399</w:t>
            </w:r>
          </w:p>
        </w:tc>
        <w:tc>
          <w:tcPr>
            <w:tcW w:w="1092"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69C1A9A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0.029</w:t>
            </w:r>
          </w:p>
        </w:tc>
      </w:tr>
      <w:tr w:rsidR="00FC14BB" w:rsidRPr="00405EC9" w14:paraId="7E737F12"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334B430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23</w:t>
            </w:r>
          </w:p>
        </w:tc>
        <w:tc>
          <w:tcPr>
            <w:tcW w:w="4840" w:type="dxa"/>
            <w:tcBorders>
              <w:top w:val="nil"/>
              <w:left w:val="nil"/>
              <w:bottom w:val="single" w:sz="4" w:space="0" w:color="auto"/>
              <w:right w:val="single" w:sz="4" w:space="0" w:color="auto"/>
            </w:tcBorders>
            <w:noWrap/>
            <w:vAlign w:val="bottom"/>
            <w:hideMark/>
          </w:tcPr>
          <w:p w14:paraId="69562333"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Charles University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2891515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69E9589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ACDD0"/>
            <w:noWrap/>
            <w:vAlign w:val="bottom"/>
            <w:hideMark/>
          </w:tcPr>
          <w:p w14:paraId="37F822E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0.341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55F921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0.009</w:t>
            </w:r>
          </w:p>
        </w:tc>
      </w:tr>
      <w:tr w:rsidR="00FC14BB" w:rsidRPr="00405EC9" w14:paraId="36AEA22F"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2FDEE12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24</w:t>
            </w:r>
          </w:p>
        </w:tc>
        <w:tc>
          <w:tcPr>
            <w:tcW w:w="4840" w:type="dxa"/>
            <w:tcBorders>
              <w:top w:val="nil"/>
              <w:left w:val="nil"/>
              <w:bottom w:val="single" w:sz="4" w:space="0" w:color="auto"/>
              <w:right w:val="single" w:sz="4" w:space="0" w:color="auto"/>
            </w:tcBorders>
            <w:noWrap/>
            <w:vAlign w:val="bottom"/>
            <w:hideMark/>
          </w:tcPr>
          <w:p w14:paraId="146F981E" w14:textId="77777777" w:rsidR="00405EC9" w:rsidRPr="00405EC9" w:rsidRDefault="00405EC9" w:rsidP="00405EC9">
            <w:pPr>
              <w:spacing w:after="0" w:line="240" w:lineRule="auto"/>
              <w:rPr>
                <w:rFonts w:eastAsia="Times New Roman" w:cs="Calibri"/>
                <w:color w:val="000000"/>
                <w:kern w:val="0"/>
                <w:sz w:val="16"/>
                <w:szCs w:val="16"/>
                <w14:ligatures w14:val="none"/>
              </w:rPr>
            </w:pPr>
            <w:proofErr w:type="spellStart"/>
            <w:r w:rsidRPr="00405EC9">
              <w:rPr>
                <w:rFonts w:eastAsia="Times New Roman" w:cs="Calibri"/>
                <w:color w:val="000000"/>
                <w:kern w:val="0"/>
                <w:sz w:val="16"/>
                <w:szCs w:val="16"/>
                <w14:ligatures w14:val="none"/>
              </w:rPr>
              <w:t>Biosense</w:t>
            </w:r>
            <w:proofErr w:type="spellEnd"/>
            <w:r w:rsidRPr="00405EC9">
              <w:rPr>
                <w:rFonts w:eastAsia="Times New Roman" w:cs="Calibri"/>
                <w:color w:val="000000"/>
                <w:kern w:val="0"/>
                <w:sz w:val="16"/>
                <w:szCs w:val="16"/>
                <w14:ligatures w14:val="none"/>
              </w:rPr>
              <w:t xml:space="preserve"> Institute (Serbia)</w:t>
            </w:r>
          </w:p>
        </w:tc>
        <w:tc>
          <w:tcPr>
            <w:tcW w:w="869"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182B644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1164" w:type="dxa"/>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53B3E10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9</w:t>
            </w:r>
          </w:p>
        </w:tc>
        <w:tc>
          <w:tcPr>
            <w:tcW w:w="985" w:type="dxa"/>
            <w:tcBorders>
              <w:top w:val="single" w:sz="4" w:space="0" w:color="auto"/>
              <w:left w:val="single" w:sz="4" w:space="0" w:color="auto"/>
              <w:bottom w:val="single" w:sz="4" w:space="0" w:color="auto"/>
              <w:right w:val="single" w:sz="4" w:space="0" w:color="auto"/>
            </w:tcBorders>
            <w:shd w:val="clear" w:color="000000" w:fill="D4ECDC"/>
            <w:noWrap/>
            <w:vAlign w:val="bottom"/>
            <w:hideMark/>
          </w:tcPr>
          <w:p w14:paraId="36CC711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0.448</w:t>
            </w:r>
          </w:p>
        </w:tc>
        <w:tc>
          <w:tcPr>
            <w:tcW w:w="1092" w:type="dxa"/>
            <w:tcBorders>
              <w:top w:val="single" w:sz="4" w:space="0" w:color="auto"/>
              <w:left w:val="single" w:sz="4" w:space="0" w:color="auto"/>
              <w:bottom w:val="single" w:sz="4" w:space="0" w:color="auto"/>
              <w:right w:val="single" w:sz="4" w:space="0" w:color="auto"/>
            </w:tcBorders>
            <w:shd w:val="clear" w:color="000000" w:fill="E3F2E9"/>
            <w:noWrap/>
            <w:vAlign w:val="bottom"/>
            <w:hideMark/>
          </w:tcPr>
          <w:p w14:paraId="5C1BEF0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0.043</w:t>
            </w:r>
          </w:p>
        </w:tc>
      </w:tr>
      <w:tr w:rsidR="00FC14BB" w:rsidRPr="00405EC9" w14:paraId="54A55887" w14:textId="77777777" w:rsidTr="004A4F7F">
        <w:trPr>
          <w:trHeight w:val="170"/>
        </w:trPr>
        <w:tc>
          <w:tcPr>
            <w:tcW w:w="400" w:type="dxa"/>
            <w:tcBorders>
              <w:top w:val="nil"/>
              <w:left w:val="single" w:sz="4" w:space="0" w:color="auto"/>
              <w:bottom w:val="single" w:sz="4" w:space="0" w:color="auto"/>
              <w:right w:val="single" w:sz="4" w:space="0" w:color="auto"/>
            </w:tcBorders>
            <w:noWrap/>
            <w:vAlign w:val="bottom"/>
            <w:hideMark/>
          </w:tcPr>
          <w:p w14:paraId="6490C47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25</w:t>
            </w:r>
          </w:p>
        </w:tc>
        <w:tc>
          <w:tcPr>
            <w:tcW w:w="4840" w:type="dxa"/>
            <w:tcBorders>
              <w:top w:val="nil"/>
              <w:left w:val="nil"/>
              <w:bottom w:val="single" w:sz="4" w:space="0" w:color="auto"/>
              <w:right w:val="single" w:sz="4" w:space="0" w:color="auto"/>
            </w:tcBorders>
            <w:noWrap/>
            <w:vAlign w:val="bottom"/>
            <w:hideMark/>
          </w:tcPr>
          <w:p w14:paraId="20CD9F1D" w14:textId="09F3B4F4"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Global Change Research Institute, Czech Acad</w:t>
            </w:r>
            <w:r w:rsidR="004A4F7F">
              <w:rPr>
                <w:rFonts w:eastAsia="Times New Roman" w:cs="Calibri"/>
                <w:color w:val="000000"/>
                <w:kern w:val="0"/>
                <w:sz w:val="16"/>
                <w:szCs w:val="16"/>
                <w14:ligatures w14:val="none"/>
              </w:rPr>
              <w:t>.</w:t>
            </w:r>
            <w:r w:rsidRPr="00405EC9">
              <w:rPr>
                <w:rFonts w:eastAsia="Times New Roman" w:cs="Calibri"/>
                <w:color w:val="000000"/>
                <w:kern w:val="0"/>
                <w:sz w:val="16"/>
                <w:szCs w:val="16"/>
                <w14:ligatures w14:val="none"/>
              </w:rPr>
              <w:t xml:space="preserve"> of Sc</w:t>
            </w:r>
            <w:r w:rsidR="004A4F7F">
              <w:rPr>
                <w:rFonts w:eastAsia="Times New Roman" w:cs="Calibri"/>
                <w:color w:val="000000"/>
                <w:kern w:val="0"/>
                <w:sz w:val="16"/>
                <w:szCs w:val="16"/>
                <w14:ligatures w14:val="none"/>
              </w:rPr>
              <w:t>.</w:t>
            </w:r>
            <w:r w:rsidRPr="00405EC9">
              <w:rPr>
                <w:rFonts w:eastAsia="Times New Roman" w:cs="Calibri"/>
                <w:color w:val="000000"/>
                <w:kern w:val="0"/>
                <w:sz w:val="16"/>
                <w:szCs w:val="16"/>
                <w14:ligatures w14:val="none"/>
              </w:rPr>
              <w:t xml:space="preserve">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0B5DD08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1164" w:type="dxa"/>
            <w:tcBorders>
              <w:top w:val="single" w:sz="4" w:space="0" w:color="auto"/>
              <w:left w:val="single" w:sz="4" w:space="0" w:color="auto"/>
              <w:bottom w:val="single" w:sz="4" w:space="0" w:color="auto"/>
              <w:right w:val="single" w:sz="4" w:space="0" w:color="auto"/>
            </w:tcBorders>
            <w:shd w:val="clear" w:color="000000" w:fill="E1F1E8"/>
            <w:noWrap/>
            <w:vAlign w:val="bottom"/>
            <w:hideMark/>
          </w:tcPr>
          <w:p w14:paraId="2914F52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10</w:t>
            </w:r>
          </w:p>
        </w:tc>
        <w:tc>
          <w:tcPr>
            <w:tcW w:w="985" w:type="dxa"/>
            <w:tcBorders>
              <w:top w:val="single" w:sz="4" w:space="0" w:color="auto"/>
              <w:left w:val="single" w:sz="4" w:space="0" w:color="auto"/>
              <w:bottom w:val="single" w:sz="4" w:space="0" w:color="auto"/>
              <w:right w:val="single" w:sz="4" w:space="0" w:color="auto"/>
            </w:tcBorders>
            <w:shd w:val="clear" w:color="000000" w:fill="D9EEE1"/>
            <w:noWrap/>
            <w:vAlign w:val="bottom"/>
            <w:hideMark/>
          </w:tcPr>
          <w:p w14:paraId="240E930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0.441</w:t>
            </w:r>
          </w:p>
        </w:tc>
        <w:tc>
          <w:tcPr>
            <w:tcW w:w="1092"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5E2BE2B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0.014</w:t>
            </w:r>
          </w:p>
        </w:tc>
      </w:tr>
      <w:tr w:rsidR="00FC14BB" w:rsidRPr="00405EC9" w14:paraId="20E1E1E0"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664208E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26</w:t>
            </w:r>
          </w:p>
        </w:tc>
        <w:tc>
          <w:tcPr>
            <w:tcW w:w="4840" w:type="dxa"/>
            <w:tcBorders>
              <w:top w:val="nil"/>
              <w:left w:val="nil"/>
              <w:bottom w:val="single" w:sz="4" w:space="0" w:color="auto"/>
              <w:right w:val="single" w:sz="4" w:space="0" w:color="auto"/>
            </w:tcBorders>
            <w:noWrap/>
            <w:vAlign w:val="bottom"/>
            <w:hideMark/>
          </w:tcPr>
          <w:p w14:paraId="0E5CB2A2"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Heidelberg University Hospital (Germany)</w:t>
            </w:r>
          </w:p>
        </w:tc>
        <w:tc>
          <w:tcPr>
            <w:tcW w:w="869"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153D981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1164" w:type="dxa"/>
            <w:tcBorders>
              <w:top w:val="single" w:sz="4" w:space="0" w:color="auto"/>
              <w:left w:val="single" w:sz="4" w:space="0" w:color="auto"/>
              <w:bottom w:val="single" w:sz="4" w:space="0" w:color="auto"/>
              <w:right w:val="single" w:sz="4" w:space="0" w:color="auto"/>
            </w:tcBorders>
            <w:shd w:val="clear" w:color="000000" w:fill="D1EBDA"/>
            <w:noWrap/>
            <w:vAlign w:val="bottom"/>
            <w:hideMark/>
          </w:tcPr>
          <w:p w14:paraId="7701714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13</w:t>
            </w:r>
          </w:p>
        </w:tc>
        <w:tc>
          <w:tcPr>
            <w:tcW w:w="985" w:type="dxa"/>
            <w:tcBorders>
              <w:top w:val="single" w:sz="4" w:space="0" w:color="auto"/>
              <w:left w:val="single" w:sz="4" w:space="0" w:color="auto"/>
              <w:bottom w:val="single" w:sz="4" w:space="0" w:color="auto"/>
              <w:right w:val="single" w:sz="4" w:space="0" w:color="auto"/>
            </w:tcBorders>
            <w:shd w:val="clear" w:color="000000" w:fill="C2E5CD"/>
            <w:noWrap/>
            <w:vAlign w:val="bottom"/>
            <w:hideMark/>
          </w:tcPr>
          <w:p w14:paraId="0D632AA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0.469</w:t>
            </w:r>
          </w:p>
        </w:tc>
        <w:tc>
          <w:tcPr>
            <w:tcW w:w="1092"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3068005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0.027</w:t>
            </w:r>
          </w:p>
        </w:tc>
      </w:tr>
      <w:tr w:rsidR="00FC14BB" w:rsidRPr="00405EC9" w14:paraId="70EBA827"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4A300C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27</w:t>
            </w:r>
          </w:p>
        </w:tc>
        <w:tc>
          <w:tcPr>
            <w:tcW w:w="4840" w:type="dxa"/>
            <w:tcBorders>
              <w:top w:val="nil"/>
              <w:left w:val="nil"/>
              <w:bottom w:val="single" w:sz="4" w:space="0" w:color="auto"/>
              <w:right w:val="single" w:sz="4" w:space="0" w:color="auto"/>
            </w:tcBorders>
            <w:noWrap/>
            <w:vAlign w:val="bottom"/>
            <w:hideMark/>
          </w:tcPr>
          <w:p w14:paraId="4C629BAD"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Graz University of Technology (Austria)</w:t>
            </w:r>
          </w:p>
        </w:tc>
        <w:tc>
          <w:tcPr>
            <w:tcW w:w="869"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7DFB289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1164" w:type="dxa"/>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2750320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11</w:t>
            </w:r>
          </w:p>
        </w:tc>
        <w:tc>
          <w:tcPr>
            <w:tcW w:w="985" w:type="dxa"/>
            <w:tcBorders>
              <w:top w:val="single" w:sz="4" w:space="0" w:color="auto"/>
              <w:left w:val="single" w:sz="4" w:space="0" w:color="auto"/>
              <w:bottom w:val="single" w:sz="4" w:space="0" w:color="auto"/>
              <w:right w:val="single" w:sz="4" w:space="0" w:color="auto"/>
            </w:tcBorders>
            <w:shd w:val="clear" w:color="000000" w:fill="D5ECDD"/>
            <w:noWrap/>
            <w:vAlign w:val="bottom"/>
            <w:hideMark/>
          </w:tcPr>
          <w:p w14:paraId="4A9BC0A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0.446</w:t>
            </w:r>
          </w:p>
        </w:tc>
        <w:tc>
          <w:tcPr>
            <w:tcW w:w="1092"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543ADAE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0.027</w:t>
            </w:r>
          </w:p>
        </w:tc>
      </w:tr>
      <w:tr w:rsidR="00FC14BB" w:rsidRPr="00405EC9" w14:paraId="0C38AAB2"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B9EC5C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28</w:t>
            </w:r>
          </w:p>
        </w:tc>
        <w:tc>
          <w:tcPr>
            <w:tcW w:w="4840" w:type="dxa"/>
            <w:tcBorders>
              <w:top w:val="nil"/>
              <w:left w:val="nil"/>
              <w:bottom w:val="single" w:sz="4" w:space="0" w:color="auto"/>
              <w:right w:val="single" w:sz="4" w:space="0" w:color="auto"/>
            </w:tcBorders>
            <w:noWrap/>
            <w:vAlign w:val="bottom"/>
            <w:hideMark/>
          </w:tcPr>
          <w:p w14:paraId="3515FC18"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German Cancer Research Center (Germany)</w:t>
            </w:r>
          </w:p>
        </w:tc>
        <w:tc>
          <w:tcPr>
            <w:tcW w:w="869"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2775034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116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4F0B9D7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985" w:type="dxa"/>
            <w:tcBorders>
              <w:top w:val="single" w:sz="4" w:space="0" w:color="auto"/>
              <w:left w:val="single" w:sz="4" w:space="0" w:color="auto"/>
              <w:bottom w:val="single" w:sz="4" w:space="0" w:color="auto"/>
              <w:right w:val="single" w:sz="4" w:space="0" w:color="auto"/>
            </w:tcBorders>
            <w:shd w:val="clear" w:color="000000" w:fill="FABDC0"/>
            <w:noWrap/>
            <w:vAlign w:val="bottom"/>
            <w:hideMark/>
          </w:tcPr>
          <w:p w14:paraId="0BA50D4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0.321</w:t>
            </w:r>
          </w:p>
        </w:tc>
        <w:tc>
          <w:tcPr>
            <w:tcW w:w="1092" w:type="dxa"/>
            <w:tcBorders>
              <w:top w:val="single" w:sz="4" w:space="0" w:color="auto"/>
              <w:left w:val="single" w:sz="4" w:space="0" w:color="auto"/>
              <w:bottom w:val="single" w:sz="4" w:space="0" w:color="auto"/>
              <w:right w:val="single" w:sz="4" w:space="0" w:color="auto"/>
            </w:tcBorders>
            <w:shd w:val="clear" w:color="000000" w:fill="F87C7E"/>
            <w:noWrap/>
            <w:vAlign w:val="bottom"/>
            <w:hideMark/>
          </w:tcPr>
          <w:p w14:paraId="55FAA92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0.001</w:t>
            </w:r>
          </w:p>
        </w:tc>
      </w:tr>
      <w:tr w:rsidR="00FC14BB" w:rsidRPr="00405EC9" w14:paraId="66540E01"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74F91A7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29</w:t>
            </w:r>
          </w:p>
        </w:tc>
        <w:tc>
          <w:tcPr>
            <w:tcW w:w="4840" w:type="dxa"/>
            <w:tcBorders>
              <w:top w:val="nil"/>
              <w:left w:val="nil"/>
              <w:bottom w:val="single" w:sz="4" w:space="0" w:color="auto"/>
              <w:right w:val="single" w:sz="4" w:space="0" w:color="auto"/>
            </w:tcBorders>
            <w:noWrap/>
            <w:vAlign w:val="bottom"/>
            <w:hideMark/>
          </w:tcPr>
          <w:p w14:paraId="137A5DF2"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Ruder Boskovic Institute (Croatia)</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872BE4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44FB119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11</w:t>
            </w:r>
          </w:p>
        </w:tc>
        <w:tc>
          <w:tcPr>
            <w:tcW w:w="985"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6EDFDA7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0.434</w:t>
            </w:r>
          </w:p>
        </w:tc>
        <w:tc>
          <w:tcPr>
            <w:tcW w:w="1092"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1CCC57E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0.008</w:t>
            </w:r>
          </w:p>
        </w:tc>
      </w:tr>
      <w:tr w:rsidR="00FC14BB" w:rsidRPr="00405EC9" w14:paraId="159DE8EC" w14:textId="77777777" w:rsidTr="004A4F7F">
        <w:trPr>
          <w:trHeight w:val="170"/>
        </w:trPr>
        <w:tc>
          <w:tcPr>
            <w:tcW w:w="400" w:type="dxa"/>
            <w:tcBorders>
              <w:top w:val="nil"/>
              <w:left w:val="single" w:sz="4" w:space="0" w:color="auto"/>
              <w:bottom w:val="single" w:sz="4" w:space="0" w:color="auto"/>
              <w:right w:val="single" w:sz="4" w:space="0" w:color="auto"/>
            </w:tcBorders>
            <w:noWrap/>
            <w:vAlign w:val="bottom"/>
            <w:hideMark/>
          </w:tcPr>
          <w:p w14:paraId="41AA303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30</w:t>
            </w:r>
          </w:p>
        </w:tc>
        <w:tc>
          <w:tcPr>
            <w:tcW w:w="4840" w:type="dxa"/>
            <w:tcBorders>
              <w:top w:val="nil"/>
              <w:left w:val="nil"/>
              <w:bottom w:val="single" w:sz="4" w:space="0" w:color="auto"/>
              <w:right w:val="single" w:sz="4" w:space="0" w:color="auto"/>
            </w:tcBorders>
            <w:noWrap/>
            <w:vAlign w:val="bottom"/>
            <w:hideMark/>
          </w:tcPr>
          <w:p w14:paraId="39080DB0" w14:textId="7CEA68BD"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National Institute for Research and Development (Romania)</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01E7C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352500F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w:t>
            </w:r>
          </w:p>
        </w:tc>
        <w:tc>
          <w:tcPr>
            <w:tcW w:w="985" w:type="dxa"/>
            <w:tcBorders>
              <w:top w:val="single" w:sz="4" w:space="0" w:color="auto"/>
              <w:left w:val="single" w:sz="4" w:space="0" w:color="auto"/>
              <w:bottom w:val="single" w:sz="4" w:space="0" w:color="auto"/>
              <w:right w:val="single" w:sz="4" w:space="0" w:color="auto"/>
            </w:tcBorders>
            <w:shd w:val="clear" w:color="000000" w:fill="F1F8F6"/>
            <w:noWrap/>
            <w:vAlign w:val="bottom"/>
            <w:hideMark/>
          </w:tcPr>
          <w:p w14:paraId="67A3483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0.412</w:t>
            </w:r>
          </w:p>
        </w:tc>
        <w:tc>
          <w:tcPr>
            <w:tcW w:w="1092" w:type="dxa"/>
            <w:tcBorders>
              <w:top w:val="single" w:sz="4" w:space="0" w:color="auto"/>
              <w:left w:val="single" w:sz="4" w:space="0" w:color="auto"/>
              <w:bottom w:val="single" w:sz="4" w:space="0" w:color="auto"/>
              <w:right w:val="single" w:sz="4" w:space="0" w:color="auto"/>
            </w:tcBorders>
            <w:shd w:val="clear" w:color="000000" w:fill="F9FBFC"/>
            <w:noWrap/>
            <w:vAlign w:val="bottom"/>
            <w:hideMark/>
          </w:tcPr>
          <w:p w14:paraId="7E1563A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0.013</w:t>
            </w:r>
          </w:p>
        </w:tc>
      </w:tr>
      <w:tr w:rsidR="00FC14BB" w:rsidRPr="00405EC9" w14:paraId="03BECD7A"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65FD6FF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31</w:t>
            </w:r>
          </w:p>
        </w:tc>
        <w:tc>
          <w:tcPr>
            <w:tcW w:w="4840" w:type="dxa"/>
            <w:tcBorders>
              <w:top w:val="nil"/>
              <w:left w:val="nil"/>
              <w:bottom w:val="single" w:sz="4" w:space="0" w:color="auto"/>
              <w:right w:val="single" w:sz="4" w:space="0" w:color="auto"/>
            </w:tcBorders>
            <w:noWrap/>
            <w:vAlign w:val="bottom"/>
            <w:hideMark/>
          </w:tcPr>
          <w:p w14:paraId="46BE16F9"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International Institute for Applied Systems Analysis (Austria)</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84350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3BF3674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BEDF0"/>
            <w:noWrap/>
            <w:vAlign w:val="bottom"/>
            <w:hideMark/>
          </w:tcPr>
          <w:p w14:paraId="03CE9DF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0.381</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88EA78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50080A45"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49DD817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32</w:t>
            </w:r>
          </w:p>
        </w:tc>
        <w:tc>
          <w:tcPr>
            <w:tcW w:w="4840" w:type="dxa"/>
            <w:tcBorders>
              <w:top w:val="nil"/>
              <w:left w:val="nil"/>
              <w:bottom w:val="single" w:sz="4" w:space="0" w:color="auto"/>
              <w:right w:val="single" w:sz="4" w:space="0" w:color="auto"/>
            </w:tcBorders>
            <w:noWrap/>
            <w:vAlign w:val="bottom"/>
            <w:hideMark/>
          </w:tcPr>
          <w:p w14:paraId="51BC51ED"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Czech Technical University in Prague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09FC49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4C44D5D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8</w:t>
            </w:r>
          </w:p>
        </w:tc>
        <w:tc>
          <w:tcPr>
            <w:tcW w:w="985" w:type="dxa"/>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07CCEA9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0.424</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51110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0.008</w:t>
            </w:r>
          </w:p>
        </w:tc>
      </w:tr>
      <w:tr w:rsidR="00FC14BB" w:rsidRPr="00405EC9" w14:paraId="77D26BB8"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5F7EDE2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33</w:t>
            </w:r>
          </w:p>
        </w:tc>
        <w:tc>
          <w:tcPr>
            <w:tcW w:w="4840" w:type="dxa"/>
            <w:tcBorders>
              <w:top w:val="nil"/>
              <w:left w:val="nil"/>
              <w:bottom w:val="single" w:sz="4" w:space="0" w:color="auto"/>
              <w:right w:val="single" w:sz="4" w:space="0" w:color="auto"/>
            </w:tcBorders>
            <w:noWrap/>
            <w:vAlign w:val="bottom"/>
            <w:hideMark/>
          </w:tcPr>
          <w:p w14:paraId="211D0C8E"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TU Wien (Austria)</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7778A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6C5B988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w:t>
            </w:r>
          </w:p>
        </w:tc>
        <w:tc>
          <w:tcPr>
            <w:tcW w:w="985"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10F8079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0.419</w:t>
            </w:r>
          </w:p>
        </w:tc>
        <w:tc>
          <w:tcPr>
            <w:tcW w:w="1092" w:type="dxa"/>
            <w:tcBorders>
              <w:top w:val="single" w:sz="4" w:space="0" w:color="auto"/>
              <w:left w:val="single" w:sz="4" w:space="0" w:color="auto"/>
              <w:bottom w:val="single" w:sz="4" w:space="0" w:color="auto"/>
              <w:right w:val="single" w:sz="4" w:space="0" w:color="auto"/>
            </w:tcBorders>
            <w:shd w:val="clear" w:color="000000" w:fill="FACACD"/>
            <w:noWrap/>
            <w:vAlign w:val="bottom"/>
            <w:hideMark/>
          </w:tcPr>
          <w:p w14:paraId="1648899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0.006</w:t>
            </w:r>
          </w:p>
        </w:tc>
      </w:tr>
      <w:tr w:rsidR="00FC14BB" w:rsidRPr="00405EC9" w14:paraId="0618A875"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5E7B6F3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34</w:t>
            </w:r>
          </w:p>
        </w:tc>
        <w:tc>
          <w:tcPr>
            <w:tcW w:w="4840" w:type="dxa"/>
            <w:tcBorders>
              <w:top w:val="nil"/>
              <w:left w:val="nil"/>
              <w:bottom w:val="single" w:sz="4" w:space="0" w:color="auto"/>
              <w:right w:val="single" w:sz="4" w:space="0" w:color="auto"/>
            </w:tcBorders>
            <w:noWrap/>
            <w:vAlign w:val="bottom"/>
            <w:hideMark/>
          </w:tcPr>
          <w:p w14:paraId="4065CD05"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Faculty of Science, University of Zagreb (Croatia)</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C771C5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2086580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w:t>
            </w:r>
          </w:p>
        </w:tc>
        <w:tc>
          <w:tcPr>
            <w:tcW w:w="985" w:type="dxa"/>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5CEB96A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0.424</w:t>
            </w:r>
          </w:p>
        </w:tc>
        <w:tc>
          <w:tcPr>
            <w:tcW w:w="1092" w:type="dxa"/>
            <w:tcBorders>
              <w:top w:val="single" w:sz="4" w:space="0" w:color="auto"/>
              <w:left w:val="single" w:sz="4" w:space="0" w:color="auto"/>
              <w:bottom w:val="single" w:sz="4" w:space="0" w:color="auto"/>
              <w:right w:val="single" w:sz="4" w:space="0" w:color="auto"/>
            </w:tcBorders>
            <w:shd w:val="clear" w:color="000000" w:fill="F5FAF9"/>
            <w:noWrap/>
            <w:vAlign w:val="bottom"/>
            <w:hideMark/>
          </w:tcPr>
          <w:p w14:paraId="5500430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0.018</w:t>
            </w:r>
          </w:p>
        </w:tc>
      </w:tr>
      <w:tr w:rsidR="00FC14BB" w:rsidRPr="00405EC9" w14:paraId="202D3A15"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7B03517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35</w:t>
            </w:r>
          </w:p>
        </w:tc>
        <w:tc>
          <w:tcPr>
            <w:tcW w:w="4840" w:type="dxa"/>
            <w:tcBorders>
              <w:top w:val="nil"/>
              <w:left w:val="nil"/>
              <w:bottom w:val="single" w:sz="4" w:space="0" w:color="auto"/>
              <w:right w:val="single" w:sz="4" w:space="0" w:color="auto"/>
            </w:tcBorders>
            <w:noWrap/>
            <w:vAlign w:val="bottom"/>
            <w:hideMark/>
          </w:tcPr>
          <w:p w14:paraId="49592E94"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Eotvos Lorand University (Hungary)</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D5CB06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67E8CBB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985" w:type="dxa"/>
            <w:tcBorders>
              <w:top w:val="single" w:sz="4" w:space="0" w:color="auto"/>
              <w:left w:val="single" w:sz="4" w:space="0" w:color="auto"/>
              <w:bottom w:val="single" w:sz="4" w:space="0" w:color="auto"/>
              <w:right w:val="single" w:sz="4" w:space="0" w:color="auto"/>
            </w:tcBorders>
            <w:shd w:val="clear" w:color="000000" w:fill="F9AAAD"/>
            <w:noWrap/>
            <w:vAlign w:val="bottom"/>
            <w:hideMark/>
          </w:tcPr>
          <w:p w14:paraId="68DD0DF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0.296</w:t>
            </w:r>
          </w:p>
        </w:tc>
        <w:tc>
          <w:tcPr>
            <w:tcW w:w="1092" w:type="dxa"/>
            <w:tcBorders>
              <w:top w:val="single" w:sz="4" w:space="0" w:color="auto"/>
              <w:left w:val="single" w:sz="4" w:space="0" w:color="auto"/>
              <w:bottom w:val="single" w:sz="4" w:space="0" w:color="auto"/>
              <w:right w:val="single" w:sz="4" w:space="0" w:color="auto"/>
            </w:tcBorders>
            <w:shd w:val="clear" w:color="000000" w:fill="F88588"/>
            <w:noWrap/>
            <w:vAlign w:val="bottom"/>
            <w:hideMark/>
          </w:tcPr>
          <w:p w14:paraId="036DA3B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0.002</w:t>
            </w:r>
          </w:p>
        </w:tc>
      </w:tr>
      <w:tr w:rsidR="00FC14BB" w:rsidRPr="00405EC9" w14:paraId="2FCBCAFC"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0219F26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36</w:t>
            </w:r>
          </w:p>
        </w:tc>
        <w:tc>
          <w:tcPr>
            <w:tcW w:w="4840" w:type="dxa"/>
            <w:tcBorders>
              <w:top w:val="nil"/>
              <w:left w:val="nil"/>
              <w:bottom w:val="single" w:sz="4" w:space="0" w:color="auto"/>
              <w:right w:val="single" w:sz="4" w:space="0" w:color="auto"/>
            </w:tcBorders>
            <w:noWrap/>
            <w:vAlign w:val="bottom"/>
            <w:hideMark/>
          </w:tcPr>
          <w:p w14:paraId="38740FF0"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Siemens AG (Germany)</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94337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6B8765C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985" w:type="dxa"/>
            <w:tcBorders>
              <w:top w:val="single" w:sz="4" w:space="0" w:color="auto"/>
              <w:left w:val="single" w:sz="4" w:space="0" w:color="auto"/>
              <w:bottom w:val="single" w:sz="4" w:space="0" w:color="auto"/>
              <w:right w:val="single" w:sz="4" w:space="0" w:color="auto"/>
            </w:tcBorders>
            <w:shd w:val="clear" w:color="000000" w:fill="FAB6B8"/>
            <w:noWrap/>
            <w:vAlign w:val="bottom"/>
            <w:hideMark/>
          </w:tcPr>
          <w:p w14:paraId="44592FD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0.311</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C8CC76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6B3CECED"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3837015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37</w:t>
            </w:r>
          </w:p>
        </w:tc>
        <w:tc>
          <w:tcPr>
            <w:tcW w:w="4840" w:type="dxa"/>
            <w:tcBorders>
              <w:top w:val="nil"/>
              <w:left w:val="nil"/>
              <w:bottom w:val="single" w:sz="4" w:space="0" w:color="auto"/>
              <w:right w:val="single" w:sz="4" w:space="0" w:color="auto"/>
            </w:tcBorders>
            <w:noWrap/>
            <w:vAlign w:val="bottom"/>
            <w:hideMark/>
          </w:tcPr>
          <w:p w14:paraId="313B0747"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 xml:space="preserve">JOANNEUM RESEARCH </w:t>
            </w:r>
            <w:proofErr w:type="spellStart"/>
            <w:r w:rsidRPr="00405EC9">
              <w:rPr>
                <w:rFonts w:eastAsia="Times New Roman" w:cs="Calibri"/>
                <w:color w:val="000000"/>
                <w:kern w:val="0"/>
                <w:sz w:val="16"/>
                <w:szCs w:val="16"/>
                <w14:ligatures w14:val="none"/>
              </w:rPr>
              <w:t>Forschungsgesellschaft</w:t>
            </w:r>
            <w:proofErr w:type="spellEnd"/>
            <w:r w:rsidRPr="00405EC9">
              <w:rPr>
                <w:rFonts w:eastAsia="Times New Roman" w:cs="Calibri"/>
                <w:color w:val="000000"/>
                <w:kern w:val="0"/>
                <w:sz w:val="16"/>
                <w:szCs w:val="16"/>
                <w14:ligatures w14:val="none"/>
              </w:rPr>
              <w:t xml:space="preserve"> </w:t>
            </w:r>
            <w:proofErr w:type="spellStart"/>
            <w:r w:rsidRPr="00405EC9">
              <w:rPr>
                <w:rFonts w:eastAsia="Times New Roman" w:cs="Calibri"/>
                <w:color w:val="000000"/>
                <w:kern w:val="0"/>
                <w:sz w:val="16"/>
                <w:szCs w:val="16"/>
                <w14:ligatures w14:val="none"/>
              </w:rPr>
              <w:t>mbH</w:t>
            </w:r>
            <w:proofErr w:type="spellEnd"/>
            <w:r w:rsidRPr="00405EC9">
              <w:rPr>
                <w:rFonts w:eastAsia="Times New Roman" w:cs="Calibri"/>
                <w:color w:val="000000"/>
                <w:kern w:val="0"/>
                <w:sz w:val="16"/>
                <w:szCs w:val="16"/>
                <w14:ligatures w14:val="none"/>
              </w:rPr>
              <w:t xml:space="preserve"> (Austria)</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092E9C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5F1EB5C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BECEE"/>
            <w:noWrap/>
            <w:vAlign w:val="bottom"/>
            <w:hideMark/>
          </w:tcPr>
          <w:p w14:paraId="3831831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0.379</w:t>
            </w:r>
          </w:p>
        </w:tc>
        <w:tc>
          <w:tcPr>
            <w:tcW w:w="1092" w:type="dxa"/>
            <w:tcBorders>
              <w:top w:val="single" w:sz="4" w:space="0" w:color="auto"/>
              <w:left w:val="single" w:sz="4" w:space="0" w:color="auto"/>
              <w:bottom w:val="single" w:sz="4" w:space="0" w:color="auto"/>
              <w:right w:val="single" w:sz="4" w:space="0" w:color="auto"/>
            </w:tcBorders>
            <w:shd w:val="clear" w:color="000000" w:fill="F9FBFC"/>
            <w:noWrap/>
            <w:vAlign w:val="bottom"/>
            <w:hideMark/>
          </w:tcPr>
          <w:p w14:paraId="5E7FE33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0.013</w:t>
            </w:r>
          </w:p>
        </w:tc>
      </w:tr>
      <w:tr w:rsidR="00FC14BB" w:rsidRPr="00405EC9" w14:paraId="2B8EAA29"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B5A3D8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38</w:t>
            </w:r>
          </w:p>
        </w:tc>
        <w:tc>
          <w:tcPr>
            <w:tcW w:w="4840" w:type="dxa"/>
            <w:tcBorders>
              <w:top w:val="nil"/>
              <w:left w:val="nil"/>
              <w:bottom w:val="single" w:sz="4" w:space="0" w:color="auto"/>
              <w:right w:val="single" w:sz="4" w:space="0" w:color="auto"/>
            </w:tcBorders>
            <w:noWrap/>
            <w:vAlign w:val="bottom"/>
            <w:hideMark/>
          </w:tcPr>
          <w:p w14:paraId="6FF74094" w14:textId="77777777" w:rsidR="00405EC9" w:rsidRPr="00405EC9" w:rsidRDefault="00405EC9" w:rsidP="00405EC9">
            <w:pPr>
              <w:spacing w:after="0" w:line="240" w:lineRule="auto"/>
              <w:rPr>
                <w:rFonts w:eastAsia="Times New Roman" w:cs="Calibri"/>
                <w:color w:val="000000"/>
                <w:kern w:val="0"/>
                <w:sz w:val="16"/>
                <w:szCs w:val="16"/>
                <w14:ligatures w14:val="none"/>
              </w:rPr>
            </w:pPr>
            <w:proofErr w:type="spellStart"/>
            <w:r w:rsidRPr="00405EC9">
              <w:rPr>
                <w:rFonts w:eastAsia="Times New Roman" w:cs="Calibri"/>
                <w:color w:val="000000"/>
                <w:kern w:val="0"/>
                <w:sz w:val="16"/>
                <w:szCs w:val="16"/>
                <w14:ligatures w14:val="none"/>
              </w:rPr>
              <w:t>Palacky</w:t>
            </w:r>
            <w:proofErr w:type="spellEnd"/>
            <w:r w:rsidRPr="00405EC9">
              <w:rPr>
                <w:rFonts w:eastAsia="Times New Roman" w:cs="Calibri"/>
                <w:color w:val="000000"/>
                <w:kern w:val="0"/>
                <w:sz w:val="16"/>
                <w:szCs w:val="16"/>
                <w14:ligatures w14:val="none"/>
              </w:rPr>
              <w:t xml:space="preserve"> University Olomouc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75541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11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F28E18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w:t>
            </w:r>
          </w:p>
        </w:tc>
        <w:tc>
          <w:tcPr>
            <w:tcW w:w="985" w:type="dxa"/>
            <w:tcBorders>
              <w:top w:val="single" w:sz="4" w:space="0" w:color="auto"/>
              <w:left w:val="single" w:sz="4" w:space="0" w:color="auto"/>
              <w:bottom w:val="single" w:sz="4" w:space="0" w:color="auto"/>
              <w:right w:val="single" w:sz="4" w:space="0" w:color="auto"/>
            </w:tcBorders>
            <w:shd w:val="clear" w:color="000000" w:fill="F9A2A4"/>
            <w:noWrap/>
            <w:vAlign w:val="bottom"/>
            <w:hideMark/>
          </w:tcPr>
          <w:p w14:paraId="3E61082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0.286</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81BF2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4D49C085"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B22B7D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39</w:t>
            </w:r>
          </w:p>
        </w:tc>
        <w:tc>
          <w:tcPr>
            <w:tcW w:w="4840" w:type="dxa"/>
            <w:tcBorders>
              <w:top w:val="nil"/>
              <w:left w:val="nil"/>
              <w:bottom w:val="single" w:sz="4" w:space="0" w:color="auto"/>
              <w:right w:val="single" w:sz="4" w:space="0" w:color="auto"/>
            </w:tcBorders>
            <w:noWrap/>
            <w:vAlign w:val="bottom"/>
            <w:hideMark/>
          </w:tcPr>
          <w:p w14:paraId="1DF2AD5C" w14:textId="77777777" w:rsidR="00405EC9" w:rsidRPr="00405EC9" w:rsidRDefault="00405EC9" w:rsidP="00405EC9">
            <w:pPr>
              <w:spacing w:after="0" w:line="240" w:lineRule="auto"/>
              <w:rPr>
                <w:rFonts w:eastAsia="Times New Roman" w:cs="Calibri"/>
                <w:color w:val="000000"/>
                <w:kern w:val="0"/>
                <w:sz w:val="16"/>
                <w:szCs w:val="16"/>
                <w:lang w:val="fr-FR"/>
                <w14:ligatures w14:val="none"/>
              </w:rPr>
            </w:pPr>
            <w:proofErr w:type="spellStart"/>
            <w:r w:rsidRPr="00405EC9">
              <w:rPr>
                <w:rFonts w:eastAsia="Times New Roman" w:cs="Calibri"/>
                <w:color w:val="000000"/>
                <w:kern w:val="0"/>
                <w:sz w:val="16"/>
                <w:szCs w:val="16"/>
                <w:lang w:val="fr-FR"/>
                <w14:ligatures w14:val="none"/>
              </w:rPr>
              <w:t>Infineon</w:t>
            </w:r>
            <w:proofErr w:type="spellEnd"/>
            <w:r w:rsidRPr="00405EC9">
              <w:rPr>
                <w:rFonts w:eastAsia="Times New Roman" w:cs="Calibri"/>
                <w:color w:val="000000"/>
                <w:kern w:val="0"/>
                <w:sz w:val="16"/>
                <w:szCs w:val="16"/>
                <w:lang w:val="fr-FR"/>
                <w14:ligatures w14:val="none"/>
              </w:rPr>
              <w:t xml:space="preserve"> Technologies </w:t>
            </w:r>
            <w:proofErr w:type="spellStart"/>
            <w:r w:rsidRPr="00405EC9">
              <w:rPr>
                <w:rFonts w:eastAsia="Times New Roman" w:cs="Calibri"/>
                <w:color w:val="000000"/>
                <w:kern w:val="0"/>
                <w:sz w:val="16"/>
                <w:szCs w:val="16"/>
                <w:lang w:val="fr-FR"/>
                <w14:ligatures w14:val="none"/>
              </w:rPr>
              <w:t>Austria</w:t>
            </w:r>
            <w:proofErr w:type="spellEnd"/>
            <w:r w:rsidRPr="00405EC9">
              <w:rPr>
                <w:rFonts w:eastAsia="Times New Roman" w:cs="Calibri"/>
                <w:color w:val="000000"/>
                <w:kern w:val="0"/>
                <w:sz w:val="16"/>
                <w:szCs w:val="16"/>
                <w:lang w:val="fr-FR"/>
                <w14:ligatures w14:val="none"/>
              </w:rPr>
              <w:t xml:space="preserve"> AG (</w:t>
            </w:r>
            <w:proofErr w:type="spellStart"/>
            <w:r w:rsidRPr="00405EC9">
              <w:rPr>
                <w:rFonts w:eastAsia="Times New Roman" w:cs="Calibri"/>
                <w:color w:val="000000"/>
                <w:kern w:val="0"/>
                <w:sz w:val="16"/>
                <w:szCs w:val="16"/>
                <w:lang w:val="fr-FR"/>
                <w14:ligatures w14:val="none"/>
              </w:rPr>
              <w:t>Austria</w:t>
            </w:r>
            <w:proofErr w:type="spellEnd"/>
            <w:r w:rsidRPr="00405EC9">
              <w:rPr>
                <w:rFonts w:eastAsia="Times New Roman" w:cs="Calibri"/>
                <w:color w:val="000000"/>
                <w:kern w:val="0"/>
                <w:sz w:val="16"/>
                <w:szCs w:val="16"/>
                <w:lang w:val="fr-FR"/>
                <w14:ligatures w14:val="none"/>
              </w:rPr>
              <w:t>)</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1F1738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6E8972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985"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43FB2F4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0.405</w:t>
            </w:r>
          </w:p>
        </w:tc>
        <w:tc>
          <w:tcPr>
            <w:tcW w:w="1092" w:type="dxa"/>
            <w:tcBorders>
              <w:top w:val="single" w:sz="4" w:space="0" w:color="auto"/>
              <w:left w:val="single" w:sz="4" w:space="0" w:color="auto"/>
              <w:bottom w:val="single" w:sz="4" w:space="0" w:color="auto"/>
              <w:right w:val="single" w:sz="4" w:space="0" w:color="auto"/>
            </w:tcBorders>
            <w:shd w:val="clear" w:color="000000" w:fill="F87072"/>
            <w:noWrap/>
            <w:vAlign w:val="bottom"/>
            <w:hideMark/>
          </w:tcPr>
          <w:p w14:paraId="1651703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7A90BBD8"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216B9B6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40</w:t>
            </w:r>
          </w:p>
        </w:tc>
        <w:tc>
          <w:tcPr>
            <w:tcW w:w="4840" w:type="dxa"/>
            <w:tcBorders>
              <w:top w:val="nil"/>
              <w:left w:val="nil"/>
              <w:bottom w:val="single" w:sz="4" w:space="0" w:color="auto"/>
              <w:right w:val="single" w:sz="4" w:space="0" w:color="auto"/>
            </w:tcBorders>
            <w:noWrap/>
            <w:vAlign w:val="bottom"/>
            <w:hideMark/>
          </w:tcPr>
          <w:p w14:paraId="3835F6F8"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Infineon Technologies AG (Germany)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9504A2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3AA87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985"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2D5EC53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0.405</w:t>
            </w:r>
          </w:p>
        </w:tc>
        <w:tc>
          <w:tcPr>
            <w:tcW w:w="1092" w:type="dxa"/>
            <w:tcBorders>
              <w:top w:val="single" w:sz="4" w:space="0" w:color="auto"/>
              <w:left w:val="single" w:sz="4" w:space="0" w:color="auto"/>
              <w:bottom w:val="single" w:sz="4" w:space="0" w:color="auto"/>
              <w:right w:val="single" w:sz="4" w:space="0" w:color="auto"/>
            </w:tcBorders>
            <w:shd w:val="clear" w:color="000000" w:fill="F87072"/>
            <w:noWrap/>
            <w:vAlign w:val="bottom"/>
            <w:hideMark/>
          </w:tcPr>
          <w:p w14:paraId="27BF8CF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6576194D"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D8349E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41</w:t>
            </w:r>
          </w:p>
        </w:tc>
        <w:tc>
          <w:tcPr>
            <w:tcW w:w="4840" w:type="dxa"/>
            <w:tcBorders>
              <w:top w:val="nil"/>
              <w:left w:val="nil"/>
              <w:bottom w:val="single" w:sz="4" w:space="0" w:color="auto"/>
              <w:right w:val="single" w:sz="4" w:space="0" w:color="auto"/>
            </w:tcBorders>
            <w:noWrap/>
            <w:vAlign w:val="bottom"/>
            <w:hideMark/>
          </w:tcPr>
          <w:p w14:paraId="50B7D7B2"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National Research, Development and Innovation Office (Hungary)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DAB64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5C8EDFB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12</w:t>
            </w:r>
          </w:p>
        </w:tc>
        <w:tc>
          <w:tcPr>
            <w:tcW w:w="985" w:type="dxa"/>
            <w:tcBorders>
              <w:top w:val="single" w:sz="4" w:space="0" w:color="auto"/>
              <w:left w:val="single" w:sz="4" w:space="0" w:color="auto"/>
              <w:bottom w:val="single" w:sz="4" w:space="0" w:color="auto"/>
              <w:right w:val="single" w:sz="4" w:space="0" w:color="auto"/>
            </w:tcBorders>
            <w:shd w:val="clear" w:color="000000" w:fill="C4E6CF"/>
            <w:noWrap/>
            <w:vAlign w:val="bottom"/>
            <w:hideMark/>
          </w:tcPr>
          <w:p w14:paraId="70292BD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0.466</w:t>
            </w:r>
          </w:p>
        </w:tc>
        <w:tc>
          <w:tcPr>
            <w:tcW w:w="1092"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7684F34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0.008</w:t>
            </w:r>
          </w:p>
        </w:tc>
      </w:tr>
      <w:tr w:rsidR="00FC14BB" w:rsidRPr="00405EC9" w14:paraId="721A2BBC"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7EB57A7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42</w:t>
            </w:r>
          </w:p>
        </w:tc>
        <w:tc>
          <w:tcPr>
            <w:tcW w:w="4840" w:type="dxa"/>
            <w:tcBorders>
              <w:top w:val="nil"/>
              <w:left w:val="nil"/>
              <w:bottom w:val="single" w:sz="4" w:space="0" w:color="auto"/>
              <w:right w:val="single" w:sz="4" w:space="0" w:color="auto"/>
            </w:tcBorders>
            <w:noWrap/>
            <w:vAlign w:val="bottom"/>
            <w:hideMark/>
          </w:tcPr>
          <w:p w14:paraId="1327D264"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Slovak Academy of Sciences (Slovakia)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9BF11C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3219FC2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12</w:t>
            </w:r>
          </w:p>
        </w:tc>
        <w:tc>
          <w:tcPr>
            <w:tcW w:w="985" w:type="dxa"/>
            <w:tcBorders>
              <w:top w:val="single" w:sz="4" w:space="0" w:color="auto"/>
              <w:left w:val="single" w:sz="4" w:space="0" w:color="auto"/>
              <w:bottom w:val="single" w:sz="4" w:space="0" w:color="auto"/>
              <w:right w:val="single" w:sz="4" w:space="0" w:color="auto"/>
            </w:tcBorders>
            <w:shd w:val="clear" w:color="000000" w:fill="C4E6CF"/>
            <w:noWrap/>
            <w:vAlign w:val="bottom"/>
            <w:hideMark/>
          </w:tcPr>
          <w:p w14:paraId="29EA22C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0.466</w:t>
            </w:r>
          </w:p>
        </w:tc>
        <w:tc>
          <w:tcPr>
            <w:tcW w:w="1092"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16450D4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0.008</w:t>
            </w:r>
          </w:p>
        </w:tc>
      </w:tr>
      <w:tr w:rsidR="00FC14BB" w:rsidRPr="00405EC9" w14:paraId="7D8C6DF7"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710CC32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43</w:t>
            </w:r>
          </w:p>
        </w:tc>
        <w:tc>
          <w:tcPr>
            <w:tcW w:w="4840" w:type="dxa"/>
            <w:tcBorders>
              <w:top w:val="nil"/>
              <w:left w:val="nil"/>
              <w:bottom w:val="single" w:sz="4" w:space="0" w:color="auto"/>
              <w:right w:val="single" w:sz="4" w:space="0" w:color="auto"/>
            </w:tcBorders>
            <w:noWrap/>
            <w:vAlign w:val="bottom"/>
            <w:hideMark/>
          </w:tcPr>
          <w:p w14:paraId="11A8AD88"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EURA AG (Germany)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15EA9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6D54E7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985" w:type="dxa"/>
            <w:tcBorders>
              <w:top w:val="single" w:sz="4" w:space="0" w:color="auto"/>
              <w:left w:val="single" w:sz="4" w:space="0" w:color="auto"/>
              <w:bottom w:val="single" w:sz="4" w:space="0" w:color="auto"/>
              <w:right w:val="single" w:sz="4" w:space="0" w:color="auto"/>
            </w:tcBorders>
            <w:shd w:val="clear" w:color="000000" w:fill="EEF6F3"/>
            <w:noWrap/>
            <w:vAlign w:val="bottom"/>
            <w:hideMark/>
          </w:tcPr>
          <w:p w14:paraId="502FFA2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0.417</w:t>
            </w:r>
          </w:p>
        </w:tc>
        <w:tc>
          <w:tcPr>
            <w:tcW w:w="1092"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5B9BA81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0.012</w:t>
            </w:r>
          </w:p>
        </w:tc>
      </w:tr>
      <w:tr w:rsidR="00FC14BB" w:rsidRPr="00405EC9" w14:paraId="03E40747"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0F63A75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44</w:t>
            </w:r>
          </w:p>
        </w:tc>
        <w:tc>
          <w:tcPr>
            <w:tcW w:w="4840" w:type="dxa"/>
            <w:tcBorders>
              <w:top w:val="nil"/>
              <w:left w:val="nil"/>
              <w:bottom w:val="single" w:sz="4" w:space="0" w:color="auto"/>
              <w:right w:val="single" w:sz="4" w:space="0" w:color="auto"/>
            </w:tcBorders>
            <w:noWrap/>
            <w:vAlign w:val="bottom"/>
            <w:hideMark/>
          </w:tcPr>
          <w:p w14:paraId="7D17DCAB"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Medical University of Sofia (Bulgaria)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79761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29B3646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12</w:t>
            </w:r>
          </w:p>
        </w:tc>
        <w:tc>
          <w:tcPr>
            <w:tcW w:w="985" w:type="dxa"/>
            <w:tcBorders>
              <w:top w:val="single" w:sz="4" w:space="0" w:color="auto"/>
              <w:left w:val="single" w:sz="4" w:space="0" w:color="auto"/>
              <w:bottom w:val="single" w:sz="4" w:space="0" w:color="auto"/>
              <w:right w:val="single" w:sz="4" w:space="0" w:color="auto"/>
            </w:tcBorders>
            <w:shd w:val="clear" w:color="000000" w:fill="C2E5CD"/>
            <w:noWrap/>
            <w:vAlign w:val="bottom"/>
            <w:hideMark/>
          </w:tcPr>
          <w:p w14:paraId="621EE74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0.469</w:t>
            </w:r>
          </w:p>
        </w:tc>
        <w:tc>
          <w:tcPr>
            <w:tcW w:w="1092"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569A98C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0.008</w:t>
            </w:r>
          </w:p>
        </w:tc>
      </w:tr>
      <w:tr w:rsidR="00FC14BB" w:rsidRPr="00405EC9" w14:paraId="05C02F22"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5DF7E15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45</w:t>
            </w:r>
          </w:p>
        </w:tc>
        <w:tc>
          <w:tcPr>
            <w:tcW w:w="4840" w:type="dxa"/>
            <w:tcBorders>
              <w:top w:val="nil"/>
              <w:left w:val="nil"/>
              <w:bottom w:val="single" w:sz="4" w:space="0" w:color="auto"/>
              <w:right w:val="single" w:sz="4" w:space="0" w:color="auto"/>
            </w:tcBorders>
            <w:noWrap/>
            <w:vAlign w:val="bottom"/>
            <w:hideMark/>
          </w:tcPr>
          <w:p w14:paraId="098DC44B"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Salzburg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B02F5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C0E4CC"/>
            <w:noWrap/>
            <w:vAlign w:val="bottom"/>
            <w:hideMark/>
          </w:tcPr>
          <w:p w14:paraId="6815CC8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16</w:t>
            </w:r>
          </w:p>
        </w:tc>
        <w:tc>
          <w:tcPr>
            <w:tcW w:w="985" w:type="dxa"/>
            <w:tcBorders>
              <w:top w:val="single" w:sz="4" w:space="0" w:color="auto"/>
              <w:left w:val="single" w:sz="4" w:space="0" w:color="auto"/>
              <w:bottom w:val="single" w:sz="4" w:space="0" w:color="auto"/>
              <w:right w:val="single" w:sz="4" w:space="0" w:color="auto"/>
            </w:tcBorders>
            <w:shd w:val="clear" w:color="000000" w:fill="ADDCBB"/>
            <w:noWrap/>
            <w:vAlign w:val="bottom"/>
            <w:hideMark/>
          </w:tcPr>
          <w:p w14:paraId="2753B39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0.493</w:t>
            </w:r>
          </w:p>
        </w:tc>
        <w:tc>
          <w:tcPr>
            <w:tcW w:w="1092" w:type="dxa"/>
            <w:tcBorders>
              <w:top w:val="single" w:sz="4" w:space="0" w:color="auto"/>
              <w:left w:val="single" w:sz="4" w:space="0" w:color="auto"/>
              <w:bottom w:val="single" w:sz="4" w:space="0" w:color="auto"/>
              <w:right w:val="single" w:sz="4" w:space="0" w:color="auto"/>
            </w:tcBorders>
            <w:shd w:val="clear" w:color="000000" w:fill="E3F2E9"/>
            <w:noWrap/>
            <w:vAlign w:val="bottom"/>
            <w:hideMark/>
          </w:tcPr>
          <w:p w14:paraId="511DF80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0.043</w:t>
            </w:r>
          </w:p>
        </w:tc>
      </w:tr>
      <w:tr w:rsidR="00FC14BB" w:rsidRPr="00405EC9" w14:paraId="40E6E837"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38DCECF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46</w:t>
            </w:r>
          </w:p>
        </w:tc>
        <w:tc>
          <w:tcPr>
            <w:tcW w:w="4840" w:type="dxa"/>
            <w:tcBorders>
              <w:top w:val="nil"/>
              <w:left w:val="nil"/>
              <w:bottom w:val="single" w:sz="4" w:space="0" w:color="auto"/>
              <w:right w:val="single" w:sz="4" w:space="0" w:color="auto"/>
            </w:tcBorders>
            <w:noWrap/>
            <w:vAlign w:val="bottom"/>
            <w:hideMark/>
          </w:tcPr>
          <w:p w14:paraId="0E7C8440"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Institute of Physics, Czech Academy of Sciences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9EA32A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08A66C1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BEFF1"/>
            <w:noWrap/>
            <w:vAlign w:val="bottom"/>
            <w:hideMark/>
          </w:tcPr>
          <w:p w14:paraId="738C868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0.383</w:t>
            </w:r>
          </w:p>
        </w:tc>
        <w:tc>
          <w:tcPr>
            <w:tcW w:w="1092" w:type="dxa"/>
            <w:tcBorders>
              <w:top w:val="single" w:sz="4" w:space="0" w:color="auto"/>
              <w:left w:val="single" w:sz="4" w:space="0" w:color="auto"/>
              <w:bottom w:val="single" w:sz="4" w:space="0" w:color="auto"/>
              <w:right w:val="single" w:sz="4" w:space="0" w:color="auto"/>
            </w:tcBorders>
            <w:shd w:val="clear" w:color="000000" w:fill="F87477"/>
            <w:noWrap/>
            <w:vAlign w:val="bottom"/>
            <w:hideMark/>
          </w:tcPr>
          <w:p w14:paraId="7111549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0.001</w:t>
            </w:r>
          </w:p>
        </w:tc>
      </w:tr>
      <w:tr w:rsidR="00FC14BB" w:rsidRPr="00405EC9" w14:paraId="6273C9F8"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75676B3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47</w:t>
            </w:r>
          </w:p>
        </w:tc>
        <w:tc>
          <w:tcPr>
            <w:tcW w:w="4840" w:type="dxa"/>
            <w:tcBorders>
              <w:top w:val="nil"/>
              <w:left w:val="nil"/>
              <w:bottom w:val="single" w:sz="4" w:space="0" w:color="auto"/>
              <w:right w:val="single" w:sz="4" w:space="0" w:color="auto"/>
            </w:tcBorders>
            <w:noWrap/>
            <w:vAlign w:val="bottom"/>
            <w:hideMark/>
          </w:tcPr>
          <w:p w14:paraId="1B88B94E"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Research Institute of Molecular Pathology GmbH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739B24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2B79894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BDADD"/>
            <w:noWrap/>
            <w:vAlign w:val="bottom"/>
            <w:hideMark/>
          </w:tcPr>
          <w:p w14:paraId="7093BB0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0.357</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E7A3C9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09921998"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0F1809D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48</w:t>
            </w:r>
          </w:p>
        </w:tc>
        <w:tc>
          <w:tcPr>
            <w:tcW w:w="4840" w:type="dxa"/>
            <w:tcBorders>
              <w:top w:val="nil"/>
              <w:left w:val="nil"/>
              <w:bottom w:val="single" w:sz="4" w:space="0" w:color="auto"/>
              <w:right w:val="single" w:sz="4" w:space="0" w:color="auto"/>
            </w:tcBorders>
            <w:noWrap/>
            <w:vAlign w:val="bottom"/>
            <w:hideMark/>
          </w:tcPr>
          <w:p w14:paraId="283E08F2"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South East Europe Advisory Services Network (Croatia)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EE9FA3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2130E2B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98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75DB3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0.214</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68E12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6466DA3B"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44EC84D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49</w:t>
            </w:r>
          </w:p>
        </w:tc>
        <w:tc>
          <w:tcPr>
            <w:tcW w:w="4840" w:type="dxa"/>
            <w:tcBorders>
              <w:top w:val="nil"/>
              <w:left w:val="nil"/>
              <w:bottom w:val="single" w:sz="4" w:space="0" w:color="auto"/>
              <w:right w:val="single" w:sz="4" w:space="0" w:color="auto"/>
            </w:tcBorders>
            <w:noWrap/>
            <w:vAlign w:val="bottom"/>
            <w:hideMark/>
          </w:tcPr>
          <w:p w14:paraId="40B0A417"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Chamber of Agriculture and Forestry of Slovenia (Slovenia)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93CF7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688BACA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99597"/>
            <w:noWrap/>
            <w:vAlign w:val="bottom"/>
            <w:hideMark/>
          </w:tcPr>
          <w:p w14:paraId="516C408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0.270</w:t>
            </w:r>
          </w:p>
        </w:tc>
        <w:tc>
          <w:tcPr>
            <w:tcW w:w="1092" w:type="dxa"/>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40F3CF5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0.053</w:t>
            </w:r>
          </w:p>
        </w:tc>
      </w:tr>
      <w:tr w:rsidR="00FC14BB" w:rsidRPr="00405EC9" w14:paraId="393D3AFA"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58CEF32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50</w:t>
            </w:r>
          </w:p>
        </w:tc>
        <w:tc>
          <w:tcPr>
            <w:tcW w:w="4840" w:type="dxa"/>
            <w:tcBorders>
              <w:top w:val="nil"/>
              <w:left w:val="nil"/>
              <w:bottom w:val="single" w:sz="4" w:space="0" w:color="auto"/>
              <w:right w:val="single" w:sz="4" w:space="0" w:color="auto"/>
            </w:tcBorders>
            <w:noWrap/>
            <w:vAlign w:val="bottom"/>
            <w:hideMark/>
          </w:tcPr>
          <w:p w14:paraId="16532AB0"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Institute of Molecular Biotechnology GmbH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995DA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09AAC6F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8</w:t>
            </w:r>
          </w:p>
        </w:tc>
        <w:tc>
          <w:tcPr>
            <w:tcW w:w="985"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779F5F1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0.397</w:t>
            </w:r>
          </w:p>
        </w:tc>
        <w:tc>
          <w:tcPr>
            <w:tcW w:w="1092" w:type="dxa"/>
            <w:tcBorders>
              <w:top w:val="single" w:sz="4" w:space="0" w:color="auto"/>
              <w:left w:val="single" w:sz="4" w:space="0" w:color="auto"/>
              <w:bottom w:val="single" w:sz="4" w:space="0" w:color="auto"/>
              <w:right w:val="single" w:sz="4" w:space="0" w:color="auto"/>
            </w:tcBorders>
            <w:shd w:val="clear" w:color="000000" w:fill="F9ABAD"/>
            <w:noWrap/>
            <w:vAlign w:val="bottom"/>
            <w:hideMark/>
          </w:tcPr>
          <w:p w14:paraId="380F2CF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0.004</w:t>
            </w:r>
          </w:p>
        </w:tc>
      </w:tr>
      <w:tr w:rsidR="00FC14BB" w:rsidRPr="00405EC9" w14:paraId="304D0BC9"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7D0C5F9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51</w:t>
            </w:r>
          </w:p>
        </w:tc>
        <w:tc>
          <w:tcPr>
            <w:tcW w:w="4840" w:type="dxa"/>
            <w:tcBorders>
              <w:top w:val="nil"/>
              <w:left w:val="nil"/>
              <w:bottom w:val="single" w:sz="4" w:space="0" w:color="auto"/>
              <w:right w:val="single" w:sz="4" w:space="0" w:color="auto"/>
            </w:tcBorders>
            <w:noWrap/>
            <w:vAlign w:val="bottom"/>
            <w:hideMark/>
          </w:tcPr>
          <w:p w14:paraId="5EBBE45E"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HUN-REN Centre for Ecological Research (Hungary)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934D31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A94387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985" w:type="dxa"/>
            <w:tcBorders>
              <w:top w:val="single" w:sz="4" w:space="0" w:color="auto"/>
              <w:left w:val="single" w:sz="4" w:space="0" w:color="auto"/>
              <w:bottom w:val="single" w:sz="4" w:space="0" w:color="auto"/>
              <w:right w:val="single" w:sz="4" w:space="0" w:color="auto"/>
            </w:tcBorders>
            <w:shd w:val="clear" w:color="000000" w:fill="FBECEE"/>
            <w:noWrap/>
            <w:vAlign w:val="bottom"/>
            <w:hideMark/>
          </w:tcPr>
          <w:p w14:paraId="1346C56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0.379</w:t>
            </w:r>
          </w:p>
        </w:tc>
        <w:tc>
          <w:tcPr>
            <w:tcW w:w="1092" w:type="dxa"/>
            <w:tcBorders>
              <w:top w:val="single" w:sz="4" w:space="0" w:color="auto"/>
              <w:left w:val="single" w:sz="4" w:space="0" w:color="auto"/>
              <w:bottom w:val="single" w:sz="4" w:space="0" w:color="auto"/>
              <w:right w:val="single" w:sz="4" w:space="0" w:color="auto"/>
            </w:tcBorders>
            <w:shd w:val="clear" w:color="000000" w:fill="F7FAFA"/>
            <w:noWrap/>
            <w:vAlign w:val="bottom"/>
            <w:hideMark/>
          </w:tcPr>
          <w:p w14:paraId="1D11008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0.016</w:t>
            </w:r>
          </w:p>
        </w:tc>
      </w:tr>
      <w:tr w:rsidR="00FC14BB" w:rsidRPr="00405EC9" w14:paraId="2EDF0444"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6C9FD5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52</w:t>
            </w:r>
          </w:p>
        </w:tc>
        <w:tc>
          <w:tcPr>
            <w:tcW w:w="4840" w:type="dxa"/>
            <w:tcBorders>
              <w:top w:val="nil"/>
              <w:left w:val="nil"/>
              <w:bottom w:val="single" w:sz="4" w:space="0" w:color="auto"/>
              <w:right w:val="single" w:sz="4" w:space="0" w:color="auto"/>
            </w:tcBorders>
            <w:noWrap/>
            <w:vAlign w:val="bottom"/>
            <w:hideMark/>
          </w:tcPr>
          <w:p w14:paraId="5E085B27" w14:textId="77777777" w:rsidR="00405EC9" w:rsidRPr="00405EC9" w:rsidRDefault="00405EC9" w:rsidP="00405EC9">
            <w:pPr>
              <w:spacing w:after="0" w:line="240" w:lineRule="auto"/>
              <w:rPr>
                <w:rFonts w:eastAsia="Times New Roman" w:cs="Calibri"/>
                <w:color w:val="000000"/>
                <w:kern w:val="0"/>
                <w:sz w:val="16"/>
                <w:szCs w:val="16"/>
                <w14:ligatures w14:val="none"/>
              </w:rPr>
            </w:pPr>
            <w:proofErr w:type="spellStart"/>
            <w:r w:rsidRPr="00405EC9">
              <w:rPr>
                <w:rFonts w:eastAsia="Times New Roman" w:cs="Calibri"/>
                <w:color w:val="000000"/>
                <w:kern w:val="0"/>
                <w:sz w:val="16"/>
                <w:szCs w:val="16"/>
                <w14:ligatures w14:val="none"/>
              </w:rPr>
              <w:t>acib</w:t>
            </w:r>
            <w:proofErr w:type="spellEnd"/>
            <w:r w:rsidRPr="00405EC9">
              <w:rPr>
                <w:rFonts w:eastAsia="Times New Roman" w:cs="Calibri"/>
                <w:color w:val="000000"/>
                <w:kern w:val="0"/>
                <w:sz w:val="16"/>
                <w:szCs w:val="16"/>
                <w14:ligatures w14:val="none"/>
              </w:rPr>
              <w:t xml:space="preserve"> GmbH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19DC6A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1CD9D1B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w:t>
            </w:r>
          </w:p>
        </w:tc>
        <w:tc>
          <w:tcPr>
            <w:tcW w:w="985"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6B4E973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0.434</w:t>
            </w:r>
          </w:p>
        </w:tc>
        <w:tc>
          <w:tcPr>
            <w:tcW w:w="1092" w:type="dxa"/>
            <w:tcBorders>
              <w:top w:val="single" w:sz="4" w:space="0" w:color="auto"/>
              <w:left w:val="single" w:sz="4" w:space="0" w:color="auto"/>
              <w:bottom w:val="single" w:sz="4" w:space="0" w:color="auto"/>
              <w:right w:val="single" w:sz="4" w:space="0" w:color="auto"/>
            </w:tcBorders>
            <w:shd w:val="clear" w:color="000000" w:fill="F5F9F9"/>
            <w:noWrap/>
            <w:vAlign w:val="bottom"/>
            <w:hideMark/>
          </w:tcPr>
          <w:p w14:paraId="410D1B5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0.018</w:t>
            </w:r>
          </w:p>
        </w:tc>
      </w:tr>
      <w:tr w:rsidR="00FC14BB" w:rsidRPr="00405EC9" w14:paraId="15295E88"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3CB383D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53</w:t>
            </w:r>
          </w:p>
        </w:tc>
        <w:tc>
          <w:tcPr>
            <w:tcW w:w="4840" w:type="dxa"/>
            <w:tcBorders>
              <w:top w:val="nil"/>
              <w:left w:val="nil"/>
              <w:bottom w:val="single" w:sz="4" w:space="0" w:color="auto"/>
              <w:right w:val="single" w:sz="4" w:space="0" w:color="auto"/>
            </w:tcBorders>
            <w:noWrap/>
            <w:vAlign w:val="bottom"/>
            <w:hideMark/>
          </w:tcPr>
          <w:p w14:paraId="4DD682FC"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Mendel University in Brno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96BE54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7B468AB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985"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5C44466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0.397</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24CBE3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1144ECF4"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6F1C3D2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54</w:t>
            </w:r>
          </w:p>
        </w:tc>
        <w:tc>
          <w:tcPr>
            <w:tcW w:w="4840" w:type="dxa"/>
            <w:tcBorders>
              <w:top w:val="nil"/>
              <w:left w:val="nil"/>
              <w:bottom w:val="single" w:sz="4" w:space="0" w:color="auto"/>
              <w:right w:val="single" w:sz="4" w:space="0" w:color="auto"/>
            </w:tcBorders>
            <w:noWrap/>
            <w:vAlign w:val="bottom"/>
            <w:hideMark/>
          </w:tcPr>
          <w:p w14:paraId="2961FDE5"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Hungarian University of Agriculture and Life Sciences (Hungary)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F560B0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12F2581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w:t>
            </w:r>
          </w:p>
        </w:tc>
        <w:tc>
          <w:tcPr>
            <w:tcW w:w="985" w:type="dxa"/>
            <w:tcBorders>
              <w:top w:val="single" w:sz="4" w:space="0" w:color="auto"/>
              <w:left w:val="single" w:sz="4" w:space="0" w:color="auto"/>
              <w:bottom w:val="single" w:sz="4" w:space="0" w:color="auto"/>
              <w:right w:val="single" w:sz="4" w:space="0" w:color="auto"/>
            </w:tcBorders>
            <w:shd w:val="clear" w:color="000000" w:fill="EAF5EF"/>
            <w:noWrap/>
            <w:vAlign w:val="bottom"/>
            <w:hideMark/>
          </w:tcPr>
          <w:p w14:paraId="762A8C4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0.421</w:t>
            </w:r>
          </w:p>
        </w:tc>
        <w:tc>
          <w:tcPr>
            <w:tcW w:w="1092" w:type="dxa"/>
            <w:tcBorders>
              <w:top w:val="single" w:sz="4" w:space="0" w:color="auto"/>
              <w:left w:val="single" w:sz="4" w:space="0" w:color="auto"/>
              <w:bottom w:val="single" w:sz="4" w:space="0" w:color="auto"/>
              <w:right w:val="single" w:sz="4" w:space="0" w:color="auto"/>
            </w:tcBorders>
            <w:shd w:val="clear" w:color="000000" w:fill="EAF5EF"/>
            <w:noWrap/>
            <w:vAlign w:val="bottom"/>
            <w:hideMark/>
          </w:tcPr>
          <w:p w14:paraId="5954476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0.034</w:t>
            </w:r>
          </w:p>
        </w:tc>
      </w:tr>
      <w:tr w:rsidR="00FC14BB" w:rsidRPr="00405EC9" w14:paraId="6EDBB26F"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C4303A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55</w:t>
            </w:r>
          </w:p>
        </w:tc>
        <w:tc>
          <w:tcPr>
            <w:tcW w:w="4840" w:type="dxa"/>
            <w:tcBorders>
              <w:top w:val="nil"/>
              <w:left w:val="nil"/>
              <w:bottom w:val="single" w:sz="4" w:space="0" w:color="auto"/>
              <w:right w:val="single" w:sz="4" w:space="0" w:color="auto"/>
            </w:tcBorders>
            <w:noWrap/>
            <w:vAlign w:val="bottom"/>
            <w:hideMark/>
          </w:tcPr>
          <w:p w14:paraId="51EF6A7E"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Environment Agency Austria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8D53B4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575065B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985" w:type="dxa"/>
            <w:tcBorders>
              <w:top w:val="single" w:sz="4" w:space="0" w:color="auto"/>
              <w:left w:val="single" w:sz="4" w:space="0" w:color="auto"/>
              <w:bottom w:val="single" w:sz="4" w:space="0" w:color="auto"/>
              <w:right w:val="single" w:sz="4" w:space="0" w:color="auto"/>
            </w:tcBorders>
            <w:shd w:val="clear" w:color="000000" w:fill="FBD9DC"/>
            <w:noWrap/>
            <w:vAlign w:val="bottom"/>
            <w:hideMark/>
          </w:tcPr>
          <w:p w14:paraId="425B038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0.355</w:t>
            </w:r>
          </w:p>
        </w:tc>
        <w:tc>
          <w:tcPr>
            <w:tcW w:w="1092" w:type="dxa"/>
            <w:tcBorders>
              <w:top w:val="single" w:sz="4" w:space="0" w:color="auto"/>
              <w:left w:val="single" w:sz="4" w:space="0" w:color="auto"/>
              <w:bottom w:val="single" w:sz="4" w:space="0" w:color="auto"/>
              <w:right w:val="single" w:sz="4" w:space="0" w:color="auto"/>
            </w:tcBorders>
            <w:shd w:val="clear" w:color="000000" w:fill="F8797B"/>
            <w:noWrap/>
            <w:vAlign w:val="bottom"/>
            <w:hideMark/>
          </w:tcPr>
          <w:p w14:paraId="38A3616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0.001</w:t>
            </w:r>
          </w:p>
        </w:tc>
      </w:tr>
      <w:tr w:rsidR="00FC14BB" w:rsidRPr="00405EC9" w14:paraId="1B62137C"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7D59314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56</w:t>
            </w:r>
          </w:p>
        </w:tc>
        <w:tc>
          <w:tcPr>
            <w:tcW w:w="4840" w:type="dxa"/>
            <w:tcBorders>
              <w:top w:val="nil"/>
              <w:left w:val="nil"/>
              <w:bottom w:val="single" w:sz="4" w:space="0" w:color="auto"/>
              <w:right w:val="single" w:sz="4" w:space="0" w:color="auto"/>
            </w:tcBorders>
            <w:noWrap/>
            <w:vAlign w:val="bottom"/>
            <w:hideMark/>
          </w:tcPr>
          <w:p w14:paraId="61C357DD"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Institute of Molecular Genetics and Genetic Engineering (Serbia)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0E9D9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31C1723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12</w:t>
            </w:r>
          </w:p>
        </w:tc>
        <w:tc>
          <w:tcPr>
            <w:tcW w:w="985" w:type="dxa"/>
            <w:tcBorders>
              <w:top w:val="single" w:sz="4" w:space="0" w:color="auto"/>
              <w:left w:val="single" w:sz="4" w:space="0" w:color="auto"/>
              <w:bottom w:val="single" w:sz="4" w:space="0" w:color="auto"/>
              <w:right w:val="single" w:sz="4" w:space="0" w:color="auto"/>
            </w:tcBorders>
            <w:shd w:val="clear" w:color="000000" w:fill="BDE3C9"/>
            <w:noWrap/>
            <w:vAlign w:val="bottom"/>
            <w:hideMark/>
          </w:tcPr>
          <w:p w14:paraId="654699B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0.475</w:t>
            </w:r>
          </w:p>
        </w:tc>
        <w:tc>
          <w:tcPr>
            <w:tcW w:w="1092" w:type="dxa"/>
            <w:tcBorders>
              <w:top w:val="single" w:sz="4" w:space="0" w:color="auto"/>
              <w:left w:val="single" w:sz="4" w:space="0" w:color="auto"/>
              <w:bottom w:val="single" w:sz="4" w:space="0" w:color="auto"/>
              <w:right w:val="single" w:sz="4" w:space="0" w:color="auto"/>
            </w:tcBorders>
            <w:shd w:val="clear" w:color="000000" w:fill="FAB4B6"/>
            <w:noWrap/>
            <w:vAlign w:val="bottom"/>
            <w:hideMark/>
          </w:tcPr>
          <w:p w14:paraId="6082F79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0.004</w:t>
            </w:r>
          </w:p>
        </w:tc>
      </w:tr>
      <w:tr w:rsidR="00FC14BB" w:rsidRPr="00405EC9" w14:paraId="58C0AF22"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C92408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lastRenderedPageBreak/>
              <w:t>57</w:t>
            </w:r>
          </w:p>
        </w:tc>
        <w:tc>
          <w:tcPr>
            <w:tcW w:w="4840" w:type="dxa"/>
            <w:tcBorders>
              <w:top w:val="nil"/>
              <w:left w:val="nil"/>
              <w:bottom w:val="single" w:sz="4" w:space="0" w:color="auto"/>
              <w:right w:val="single" w:sz="4" w:space="0" w:color="auto"/>
            </w:tcBorders>
            <w:noWrap/>
            <w:vAlign w:val="bottom"/>
            <w:hideMark/>
          </w:tcPr>
          <w:p w14:paraId="31C27BFF"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Austrian Academy of Sciences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D1BB04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7A45F73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w:t>
            </w:r>
          </w:p>
        </w:tc>
        <w:tc>
          <w:tcPr>
            <w:tcW w:w="985" w:type="dxa"/>
            <w:tcBorders>
              <w:top w:val="single" w:sz="4" w:space="0" w:color="auto"/>
              <w:left w:val="single" w:sz="4" w:space="0" w:color="auto"/>
              <w:bottom w:val="single" w:sz="4" w:space="0" w:color="auto"/>
              <w:right w:val="single" w:sz="4" w:space="0" w:color="auto"/>
            </w:tcBorders>
            <w:shd w:val="clear" w:color="000000" w:fill="FBE7EA"/>
            <w:noWrap/>
            <w:vAlign w:val="bottom"/>
            <w:hideMark/>
          </w:tcPr>
          <w:p w14:paraId="692AFDD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0.373</w:t>
            </w:r>
          </w:p>
        </w:tc>
        <w:tc>
          <w:tcPr>
            <w:tcW w:w="1092" w:type="dxa"/>
            <w:tcBorders>
              <w:top w:val="single" w:sz="4" w:space="0" w:color="auto"/>
              <w:left w:val="single" w:sz="4" w:space="0" w:color="auto"/>
              <w:bottom w:val="single" w:sz="4" w:space="0" w:color="auto"/>
              <w:right w:val="single" w:sz="4" w:space="0" w:color="auto"/>
            </w:tcBorders>
            <w:shd w:val="clear" w:color="000000" w:fill="F87C7E"/>
            <w:noWrap/>
            <w:vAlign w:val="bottom"/>
            <w:hideMark/>
          </w:tcPr>
          <w:p w14:paraId="3159AFF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0.001</w:t>
            </w:r>
          </w:p>
        </w:tc>
      </w:tr>
      <w:tr w:rsidR="00FC14BB" w:rsidRPr="00405EC9" w14:paraId="03977E2D"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730B96B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58</w:t>
            </w:r>
          </w:p>
        </w:tc>
        <w:tc>
          <w:tcPr>
            <w:tcW w:w="4840" w:type="dxa"/>
            <w:tcBorders>
              <w:top w:val="nil"/>
              <w:left w:val="nil"/>
              <w:bottom w:val="single" w:sz="4" w:space="0" w:color="auto"/>
              <w:right w:val="single" w:sz="4" w:space="0" w:color="auto"/>
            </w:tcBorders>
            <w:noWrap/>
            <w:vAlign w:val="bottom"/>
            <w:hideMark/>
          </w:tcPr>
          <w:p w14:paraId="1EA21C36"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Institute of Microbiology, Czech Academy of Sciences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C2117C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2C996D0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ACDD0"/>
            <w:noWrap/>
            <w:vAlign w:val="bottom"/>
            <w:hideMark/>
          </w:tcPr>
          <w:p w14:paraId="14F79F0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0.341</w:t>
            </w:r>
          </w:p>
        </w:tc>
        <w:tc>
          <w:tcPr>
            <w:tcW w:w="1092" w:type="dxa"/>
            <w:tcBorders>
              <w:top w:val="single" w:sz="4" w:space="0" w:color="auto"/>
              <w:left w:val="single" w:sz="4" w:space="0" w:color="auto"/>
              <w:bottom w:val="single" w:sz="4" w:space="0" w:color="auto"/>
              <w:right w:val="single" w:sz="4" w:space="0" w:color="auto"/>
            </w:tcBorders>
            <w:shd w:val="clear" w:color="000000" w:fill="F88587"/>
            <w:noWrap/>
            <w:vAlign w:val="bottom"/>
            <w:hideMark/>
          </w:tcPr>
          <w:p w14:paraId="7A9D677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0.002</w:t>
            </w:r>
          </w:p>
        </w:tc>
      </w:tr>
      <w:tr w:rsidR="00FC14BB" w:rsidRPr="00405EC9" w14:paraId="12FE5680"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65D0498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59</w:t>
            </w:r>
          </w:p>
        </w:tc>
        <w:tc>
          <w:tcPr>
            <w:tcW w:w="4840" w:type="dxa"/>
            <w:tcBorders>
              <w:top w:val="nil"/>
              <w:left w:val="nil"/>
              <w:bottom w:val="single" w:sz="4" w:space="0" w:color="auto"/>
              <w:right w:val="single" w:sz="4" w:space="0" w:color="auto"/>
            </w:tcBorders>
            <w:noWrap/>
            <w:vAlign w:val="bottom"/>
            <w:hideMark/>
          </w:tcPr>
          <w:p w14:paraId="02A0CCCF"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Medical University of Graz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DDC6B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701E1A9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985" w:type="dxa"/>
            <w:tcBorders>
              <w:top w:val="single" w:sz="4" w:space="0" w:color="auto"/>
              <w:left w:val="single" w:sz="4" w:space="0" w:color="auto"/>
              <w:bottom w:val="single" w:sz="4" w:space="0" w:color="auto"/>
              <w:right w:val="single" w:sz="4" w:space="0" w:color="auto"/>
            </w:tcBorders>
            <w:shd w:val="clear" w:color="000000" w:fill="FBD8DA"/>
            <w:noWrap/>
            <w:vAlign w:val="bottom"/>
            <w:hideMark/>
          </w:tcPr>
          <w:p w14:paraId="4DEE691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0.354</w:t>
            </w:r>
          </w:p>
        </w:tc>
        <w:tc>
          <w:tcPr>
            <w:tcW w:w="1092" w:type="dxa"/>
            <w:tcBorders>
              <w:top w:val="single" w:sz="4" w:space="0" w:color="auto"/>
              <w:left w:val="single" w:sz="4" w:space="0" w:color="auto"/>
              <w:bottom w:val="single" w:sz="4" w:space="0" w:color="auto"/>
              <w:right w:val="single" w:sz="4" w:space="0" w:color="auto"/>
            </w:tcBorders>
            <w:shd w:val="clear" w:color="000000" w:fill="F86C6E"/>
            <w:noWrap/>
            <w:vAlign w:val="bottom"/>
            <w:hideMark/>
          </w:tcPr>
          <w:p w14:paraId="4E439D8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68B2BE7F"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424930E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60</w:t>
            </w:r>
          </w:p>
        </w:tc>
        <w:tc>
          <w:tcPr>
            <w:tcW w:w="4840" w:type="dxa"/>
            <w:tcBorders>
              <w:top w:val="nil"/>
              <w:left w:val="nil"/>
              <w:bottom w:val="single" w:sz="4" w:space="0" w:color="auto"/>
              <w:right w:val="single" w:sz="4" w:space="0" w:color="auto"/>
            </w:tcBorders>
            <w:noWrap/>
            <w:vAlign w:val="bottom"/>
            <w:hideMark/>
          </w:tcPr>
          <w:p w14:paraId="0CE62E45" w14:textId="77777777" w:rsidR="00405EC9" w:rsidRPr="00405EC9" w:rsidRDefault="00405EC9" w:rsidP="00405EC9">
            <w:pPr>
              <w:spacing w:after="0" w:line="240" w:lineRule="auto"/>
              <w:rPr>
                <w:rFonts w:eastAsia="Times New Roman" w:cs="Calibri"/>
                <w:color w:val="000000"/>
                <w:kern w:val="0"/>
                <w:sz w:val="16"/>
                <w:szCs w:val="16"/>
                <w14:ligatures w14:val="none"/>
              </w:rPr>
            </w:pPr>
            <w:proofErr w:type="spellStart"/>
            <w:r w:rsidRPr="00405EC9">
              <w:rPr>
                <w:rFonts w:eastAsia="Times New Roman" w:cs="Calibri"/>
                <w:color w:val="000000"/>
                <w:kern w:val="0"/>
                <w:sz w:val="16"/>
                <w:szCs w:val="16"/>
                <w14:ligatures w14:val="none"/>
              </w:rPr>
              <w:t>Szechenyi</w:t>
            </w:r>
            <w:proofErr w:type="spellEnd"/>
            <w:r w:rsidRPr="00405EC9">
              <w:rPr>
                <w:rFonts w:eastAsia="Times New Roman" w:cs="Calibri"/>
                <w:color w:val="000000"/>
                <w:kern w:val="0"/>
                <w:sz w:val="16"/>
                <w:szCs w:val="16"/>
                <w14:ligatures w14:val="none"/>
              </w:rPr>
              <w:t xml:space="preserve"> Istvan University (Hungary)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589B57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3F02F94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98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023215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0.214</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EC2F80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0A0A3849"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2C42FBA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61</w:t>
            </w:r>
          </w:p>
        </w:tc>
        <w:tc>
          <w:tcPr>
            <w:tcW w:w="4840" w:type="dxa"/>
            <w:tcBorders>
              <w:top w:val="nil"/>
              <w:left w:val="nil"/>
              <w:bottom w:val="single" w:sz="4" w:space="0" w:color="auto"/>
              <w:right w:val="single" w:sz="4" w:space="0" w:color="auto"/>
            </w:tcBorders>
            <w:noWrap/>
            <w:vAlign w:val="bottom"/>
            <w:hideMark/>
          </w:tcPr>
          <w:p w14:paraId="20BE317B"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 xml:space="preserve">University of </w:t>
            </w:r>
            <w:proofErr w:type="spellStart"/>
            <w:r w:rsidRPr="00405EC9">
              <w:rPr>
                <w:rFonts w:eastAsia="Times New Roman" w:cs="Calibri"/>
                <w:color w:val="000000"/>
                <w:kern w:val="0"/>
                <w:sz w:val="16"/>
                <w:szCs w:val="16"/>
                <w14:ligatures w14:val="none"/>
              </w:rPr>
              <w:t>Primorska</w:t>
            </w:r>
            <w:proofErr w:type="spellEnd"/>
            <w:r w:rsidRPr="00405EC9">
              <w:rPr>
                <w:rFonts w:eastAsia="Times New Roman" w:cs="Calibri"/>
                <w:color w:val="000000"/>
                <w:kern w:val="0"/>
                <w:sz w:val="16"/>
                <w:szCs w:val="16"/>
                <w14:ligatures w14:val="none"/>
              </w:rPr>
              <w:t xml:space="preserve"> (Slovenia)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7D0B6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472B78C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985" w:type="dxa"/>
            <w:tcBorders>
              <w:top w:val="single" w:sz="4" w:space="0" w:color="auto"/>
              <w:left w:val="single" w:sz="4" w:space="0" w:color="auto"/>
              <w:bottom w:val="single" w:sz="4" w:space="0" w:color="auto"/>
              <w:right w:val="single" w:sz="4" w:space="0" w:color="auto"/>
            </w:tcBorders>
            <w:shd w:val="clear" w:color="000000" w:fill="FBDCDE"/>
            <w:noWrap/>
            <w:vAlign w:val="bottom"/>
            <w:hideMark/>
          </w:tcPr>
          <w:p w14:paraId="69C689D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0.359</w:t>
            </w:r>
          </w:p>
        </w:tc>
        <w:tc>
          <w:tcPr>
            <w:tcW w:w="1092" w:type="dxa"/>
            <w:tcBorders>
              <w:top w:val="single" w:sz="4" w:space="0" w:color="auto"/>
              <w:left w:val="single" w:sz="4" w:space="0" w:color="auto"/>
              <w:bottom w:val="single" w:sz="4" w:space="0" w:color="auto"/>
              <w:right w:val="single" w:sz="4" w:space="0" w:color="auto"/>
            </w:tcBorders>
            <w:shd w:val="clear" w:color="000000" w:fill="F87678"/>
            <w:noWrap/>
            <w:vAlign w:val="bottom"/>
            <w:hideMark/>
          </w:tcPr>
          <w:p w14:paraId="00A30BD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0.001</w:t>
            </w:r>
          </w:p>
        </w:tc>
      </w:tr>
      <w:tr w:rsidR="00FC14BB" w:rsidRPr="00405EC9" w14:paraId="466AFC3C"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451E01B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62</w:t>
            </w:r>
          </w:p>
        </w:tc>
        <w:tc>
          <w:tcPr>
            <w:tcW w:w="4840" w:type="dxa"/>
            <w:tcBorders>
              <w:top w:val="nil"/>
              <w:left w:val="nil"/>
              <w:bottom w:val="single" w:sz="4" w:space="0" w:color="auto"/>
              <w:right w:val="single" w:sz="4" w:space="0" w:color="auto"/>
            </w:tcBorders>
            <w:noWrap/>
            <w:vAlign w:val="bottom"/>
            <w:hideMark/>
          </w:tcPr>
          <w:p w14:paraId="2B33B8FC"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Chemistry and Technology Prague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A4C56E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5DAE3D4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w:t>
            </w:r>
          </w:p>
        </w:tc>
        <w:tc>
          <w:tcPr>
            <w:tcW w:w="985" w:type="dxa"/>
            <w:tcBorders>
              <w:top w:val="single" w:sz="4" w:space="0" w:color="auto"/>
              <w:left w:val="single" w:sz="4" w:space="0" w:color="auto"/>
              <w:bottom w:val="single" w:sz="4" w:space="0" w:color="auto"/>
              <w:right w:val="single" w:sz="4" w:space="0" w:color="auto"/>
            </w:tcBorders>
            <w:shd w:val="clear" w:color="000000" w:fill="EAF5EF"/>
            <w:noWrap/>
            <w:vAlign w:val="bottom"/>
            <w:hideMark/>
          </w:tcPr>
          <w:p w14:paraId="0071752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0.421</w:t>
            </w:r>
          </w:p>
        </w:tc>
        <w:tc>
          <w:tcPr>
            <w:tcW w:w="1092" w:type="dxa"/>
            <w:tcBorders>
              <w:top w:val="single" w:sz="4" w:space="0" w:color="auto"/>
              <w:left w:val="single" w:sz="4" w:space="0" w:color="auto"/>
              <w:bottom w:val="single" w:sz="4" w:space="0" w:color="auto"/>
              <w:right w:val="single" w:sz="4" w:space="0" w:color="auto"/>
            </w:tcBorders>
            <w:shd w:val="clear" w:color="000000" w:fill="E3F2E9"/>
            <w:noWrap/>
            <w:vAlign w:val="bottom"/>
            <w:hideMark/>
          </w:tcPr>
          <w:p w14:paraId="1BA93BE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0.043</w:t>
            </w:r>
          </w:p>
        </w:tc>
      </w:tr>
      <w:tr w:rsidR="00FC14BB" w:rsidRPr="00405EC9" w14:paraId="4E621E8A"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15B527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63</w:t>
            </w:r>
          </w:p>
        </w:tc>
        <w:tc>
          <w:tcPr>
            <w:tcW w:w="4840" w:type="dxa"/>
            <w:tcBorders>
              <w:top w:val="nil"/>
              <w:left w:val="nil"/>
              <w:bottom w:val="single" w:sz="4" w:space="0" w:color="auto"/>
              <w:right w:val="single" w:sz="4" w:space="0" w:color="auto"/>
            </w:tcBorders>
            <w:noWrap/>
            <w:vAlign w:val="bottom"/>
            <w:hideMark/>
          </w:tcPr>
          <w:p w14:paraId="77768387"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Hohenheim (Germany)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8A0C10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6A196A6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985" w:type="dxa"/>
            <w:tcBorders>
              <w:top w:val="single" w:sz="4" w:space="0" w:color="auto"/>
              <w:left w:val="single" w:sz="4" w:space="0" w:color="auto"/>
              <w:bottom w:val="single" w:sz="4" w:space="0" w:color="auto"/>
              <w:right w:val="single" w:sz="4" w:space="0" w:color="auto"/>
            </w:tcBorders>
            <w:shd w:val="clear" w:color="000000" w:fill="FBEFF1"/>
            <w:noWrap/>
            <w:vAlign w:val="bottom"/>
            <w:hideMark/>
          </w:tcPr>
          <w:p w14:paraId="6C12E05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0.383</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B35EA1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0.008</w:t>
            </w:r>
          </w:p>
        </w:tc>
      </w:tr>
      <w:tr w:rsidR="00FC14BB" w:rsidRPr="00405EC9" w14:paraId="3E306A6A"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253A781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64</w:t>
            </w:r>
          </w:p>
        </w:tc>
        <w:tc>
          <w:tcPr>
            <w:tcW w:w="4840" w:type="dxa"/>
            <w:tcBorders>
              <w:top w:val="nil"/>
              <w:left w:val="nil"/>
              <w:bottom w:val="single" w:sz="4" w:space="0" w:color="auto"/>
              <w:right w:val="single" w:sz="4" w:space="0" w:color="auto"/>
            </w:tcBorders>
            <w:noWrap/>
            <w:vAlign w:val="bottom"/>
            <w:hideMark/>
          </w:tcPr>
          <w:p w14:paraId="4F1DC9AB"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Graz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CE919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43B534D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AD0D3"/>
            <w:noWrap/>
            <w:vAlign w:val="bottom"/>
            <w:hideMark/>
          </w:tcPr>
          <w:p w14:paraId="19B8D8C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0.344</w:t>
            </w:r>
          </w:p>
        </w:tc>
        <w:tc>
          <w:tcPr>
            <w:tcW w:w="1092" w:type="dxa"/>
            <w:tcBorders>
              <w:top w:val="single" w:sz="4" w:space="0" w:color="auto"/>
              <w:left w:val="single" w:sz="4" w:space="0" w:color="auto"/>
              <w:bottom w:val="single" w:sz="4" w:space="0" w:color="auto"/>
              <w:right w:val="single" w:sz="4" w:space="0" w:color="auto"/>
            </w:tcBorders>
            <w:shd w:val="clear" w:color="000000" w:fill="F9ABAE"/>
            <w:noWrap/>
            <w:vAlign w:val="bottom"/>
            <w:hideMark/>
          </w:tcPr>
          <w:p w14:paraId="6361E8E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0.004</w:t>
            </w:r>
          </w:p>
        </w:tc>
      </w:tr>
      <w:tr w:rsidR="00FC14BB" w:rsidRPr="00405EC9" w14:paraId="7B5E66E7"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626F3A7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65</w:t>
            </w:r>
          </w:p>
        </w:tc>
        <w:tc>
          <w:tcPr>
            <w:tcW w:w="4840" w:type="dxa"/>
            <w:tcBorders>
              <w:top w:val="nil"/>
              <w:left w:val="nil"/>
              <w:bottom w:val="single" w:sz="4" w:space="0" w:color="auto"/>
              <w:right w:val="single" w:sz="4" w:space="0" w:color="auto"/>
            </w:tcBorders>
            <w:noWrap/>
            <w:vAlign w:val="bottom"/>
            <w:hideMark/>
          </w:tcPr>
          <w:p w14:paraId="602234BA"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Veterinary Medicine Budapest (Hungary)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4DB37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0EE9B0C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BD8DA"/>
            <w:noWrap/>
            <w:vAlign w:val="bottom"/>
            <w:hideMark/>
          </w:tcPr>
          <w:p w14:paraId="3630452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0.354</w:t>
            </w:r>
          </w:p>
        </w:tc>
        <w:tc>
          <w:tcPr>
            <w:tcW w:w="1092" w:type="dxa"/>
            <w:tcBorders>
              <w:top w:val="single" w:sz="4" w:space="0" w:color="auto"/>
              <w:left w:val="single" w:sz="4" w:space="0" w:color="auto"/>
              <w:bottom w:val="single" w:sz="4" w:space="0" w:color="auto"/>
              <w:right w:val="single" w:sz="4" w:space="0" w:color="auto"/>
            </w:tcBorders>
            <w:shd w:val="clear" w:color="000000" w:fill="F9999C"/>
            <w:noWrap/>
            <w:vAlign w:val="bottom"/>
            <w:hideMark/>
          </w:tcPr>
          <w:p w14:paraId="74DA724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0.003</w:t>
            </w:r>
          </w:p>
        </w:tc>
      </w:tr>
      <w:tr w:rsidR="00FC14BB" w:rsidRPr="00405EC9" w14:paraId="14206C2F"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6F9EA1C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66</w:t>
            </w:r>
          </w:p>
        </w:tc>
        <w:tc>
          <w:tcPr>
            <w:tcW w:w="4840" w:type="dxa"/>
            <w:tcBorders>
              <w:top w:val="nil"/>
              <w:left w:val="nil"/>
              <w:bottom w:val="single" w:sz="4" w:space="0" w:color="auto"/>
              <w:right w:val="single" w:sz="4" w:space="0" w:color="auto"/>
            </w:tcBorders>
            <w:noWrap/>
            <w:vAlign w:val="bottom"/>
            <w:hideMark/>
          </w:tcPr>
          <w:p w14:paraId="33B144DB"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Johannes Kepler University Linz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2AB5F4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7371DDF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w:t>
            </w:r>
          </w:p>
        </w:tc>
        <w:tc>
          <w:tcPr>
            <w:tcW w:w="985"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725DEE2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0.385</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887284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76FB3F2D"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3AE2F26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67</w:t>
            </w:r>
          </w:p>
        </w:tc>
        <w:tc>
          <w:tcPr>
            <w:tcW w:w="4840" w:type="dxa"/>
            <w:tcBorders>
              <w:top w:val="nil"/>
              <w:left w:val="nil"/>
              <w:bottom w:val="single" w:sz="4" w:space="0" w:color="auto"/>
              <w:right w:val="single" w:sz="4" w:space="0" w:color="auto"/>
            </w:tcBorders>
            <w:noWrap/>
            <w:vAlign w:val="bottom"/>
            <w:hideMark/>
          </w:tcPr>
          <w:p w14:paraId="2F7972FE" w14:textId="77777777" w:rsidR="00405EC9" w:rsidRPr="00405EC9" w:rsidRDefault="00405EC9" w:rsidP="00405EC9">
            <w:pPr>
              <w:spacing w:after="0" w:line="240" w:lineRule="auto"/>
              <w:rPr>
                <w:rFonts w:eastAsia="Times New Roman" w:cs="Calibri"/>
                <w:color w:val="000000"/>
                <w:kern w:val="0"/>
                <w:sz w:val="16"/>
                <w:szCs w:val="16"/>
                <w14:ligatures w14:val="none"/>
              </w:rPr>
            </w:pPr>
            <w:proofErr w:type="spellStart"/>
            <w:r w:rsidRPr="00405EC9">
              <w:rPr>
                <w:rFonts w:eastAsia="Times New Roman" w:cs="Calibri"/>
                <w:color w:val="000000"/>
                <w:kern w:val="0"/>
                <w:sz w:val="16"/>
                <w:szCs w:val="16"/>
                <w14:ligatures w14:val="none"/>
              </w:rPr>
              <w:t>Steinbeis</w:t>
            </w:r>
            <w:proofErr w:type="spellEnd"/>
            <w:r w:rsidRPr="00405EC9">
              <w:rPr>
                <w:rFonts w:eastAsia="Times New Roman" w:cs="Calibri"/>
                <w:color w:val="000000"/>
                <w:kern w:val="0"/>
                <w:sz w:val="16"/>
                <w:szCs w:val="16"/>
                <w14:ligatures w14:val="none"/>
              </w:rPr>
              <w:t xml:space="preserve"> 2i GmbH (Germany)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13D487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0713224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985" w:type="dxa"/>
            <w:tcBorders>
              <w:top w:val="single" w:sz="4" w:space="0" w:color="auto"/>
              <w:left w:val="single" w:sz="4" w:space="0" w:color="auto"/>
              <w:bottom w:val="single" w:sz="4" w:space="0" w:color="auto"/>
              <w:right w:val="single" w:sz="4" w:space="0" w:color="auto"/>
            </w:tcBorders>
            <w:shd w:val="clear" w:color="000000" w:fill="F9AAAD"/>
            <w:noWrap/>
            <w:vAlign w:val="bottom"/>
            <w:hideMark/>
          </w:tcPr>
          <w:p w14:paraId="0415E39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0.296</w:t>
            </w:r>
          </w:p>
        </w:tc>
        <w:tc>
          <w:tcPr>
            <w:tcW w:w="1092" w:type="dxa"/>
            <w:tcBorders>
              <w:top w:val="single" w:sz="4" w:space="0" w:color="auto"/>
              <w:left w:val="single" w:sz="4" w:space="0" w:color="auto"/>
              <w:bottom w:val="single" w:sz="4" w:space="0" w:color="auto"/>
              <w:right w:val="single" w:sz="4" w:space="0" w:color="auto"/>
            </w:tcBorders>
            <w:shd w:val="clear" w:color="000000" w:fill="F87A7C"/>
            <w:noWrap/>
            <w:vAlign w:val="bottom"/>
            <w:hideMark/>
          </w:tcPr>
          <w:p w14:paraId="56C8F8B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0.001</w:t>
            </w:r>
          </w:p>
        </w:tc>
      </w:tr>
      <w:tr w:rsidR="00FC14BB" w:rsidRPr="00405EC9" w14:paraId="61301191"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1FB39D5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68</w:t>
            </w:r>
          </w:p>
        </w:tc>
        <w:tc>
          <w:tcPr>
            <w:tcW w:w="4840" w:type="dxa"/>
            <w:tcBorders>
              <w:top w:val="nil"/>
              <w:left w:val="nil"/>
              <w:bottom w:val="single" w:sz="4" w:space="0" w:color="auto"/>
              <w:right w:val="single" w:sz="4" w:space="0" w:color="auto"/>
            </w:tcBorders>
            <w:noWrap/>
            <w:vAlign w:val="bottom"/>
            <w:hideMark/>
          </w:tcPr>
          <w:p w14:paraId="48A87736"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NEC Laboratories Europe GmbH (Germany)</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1F2339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43B169E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4</w:t>
            </w:r>
          </w:p>
        </w:tc>
        <w:tc>
          <w:tcPr>
            <w:tcW w:w="985"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0838215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0.385</w:t>
            </w:r>
          </w:p>
        </w:tc>
        <w:tc>
          <w:tcPr>
            <w:tcW w:w="1092"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6C645C2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0.031</w:t>
            </w:r>
          </w:p>
        </w:tc>
      </w:tr>
      <w:tr w:rsidR="00FC14BB" w:rsidRPr="00405EC9" w14:paraId="2A9F9425"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0C1ED9F2"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69</w:t>
            </w:r>
          </w:p>
        </w:tc>
        <w:tc>
          <w:tcPr>
            <w:tcW w:w="4840" w:type="dxa"/>
            <w:tcBorders>
              <w:top w:val="nil"/>
              <w:left w:val="nil"/>
              <w:bottom w:val="single" w:sz="4" w:space="0" w:color="auto"/>
              <w:right w:val="single" w:sz="4" w:space="0" w:color="auto"/>
            </w:tcBorders>
            <w:noWrap/>
            <w:vAlign w:val="bottom"/>
            <w:hideMark/>
          </w:tcPr>
          <w:p w14:paraId="169BCC78"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St. Anna Children’s Cancer Research Institute GmbH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1FFC9D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7CF0454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BE4E7"/>
            <w:noWrap/>
            <w:vAlign w:val="bottom"/>
            <w:hideMark/>
          </w:tcPr>
          <w:p w14:paraId="289EA9E8"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0.369</w:t>
            </w:r>
          </w:p>
        </w:tc>
        <w:tc>
          <w:tcPr>
            <w:tcW w:w="1092"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69E8FF8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0.027</w:t>
            </w:r>
          </w:p>
        </w:tc>
      </w:tr>
      <w:tr w:rsidR="00FC14BB" w:rsidRPr="00405EC9" w14:paraId="46238047"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47030876"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70</w:t>
            </w:r>
          </w:p>
        </w:tc>
        <w:tc>
          <w:tcPr>
            <w:tcW w:w="4840" w:type="dxa"/>
            <w:tcBorders>
              <w:top w:val="nil"/>
              <w:left w:val="nil"/>
              <w:bottom w:val="single" w:sz="4" w:space="0" w:color="auto"/>
              <w:right w:val="single" w:sz="4" w:space="0" w:color="auto"/>
            </w:tcBorders>
            <w:noWrap/>
            <w:vAlign w:val="bottom"/>
            <w:hideMark/>
          </w:tcPr>
          <w:p w14:paraId="5A687979" w14:textId="524A251A" w:rsidR="00405EC9" w:rsidRPr="00405EC9" w:rsidRDefault="00405EC9" w:rsidP="00405EC9">
            <w:pPr>
              <w:spacing w:after="0" w:line="240" w:lineRule="auto"/>
              <w:rPr>
                <w:rFonts w:eastAsia="Times New Roman" w:cs="Calibri"/>
                <w:color w:val="000000"/>
                <w:kern w:val="0"/>
                <w:sz w:val="16"/>
                <w:szCs w:val="16"/>
                <w14:ligatures w14:val="none"/>
              </w:rPr>
            </w:pPr>
            <w:proofErr w:type="spellStart"/>
            <w:r w:rsidRPr="00405EC9">
              <w:rPr>
                <w:rFonts w:eastAsia="Times New Roman" w:cs="Calibri"/>
                <w:color w:val="000000"/>
                <w:kern w:val="0"/>
                <w:sz w:val="16"/>
                <w:szCs w:val="16"/>
                <w14:ligatures w14:val="none"/>
              </w:rPr>
              <w:t>CeMM</w:t>
            </w:r>
            <w:proofErr w:type="spellEnd"/>
            <w:r w:rsidRPr="00405EC9">
              <w:rPr>
                <w:rFonts w:eastAsia="Times New Roman" w:cs="Calibri"/>
                <w:color w:val="000000"/>
                <w:kern w:val="0"/>
                <w:sz w:val="16"/>
                <w:szCs w:val="16"/>
                <w14:ligatures w14:val="none"/>
              </w:rPr>
              <w:t xml:space="preserve"> – Research Center for Molecular Medicine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508F24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3441131"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w:t>
            </w:r>
          </w:p>
        </w:tc>
        <w:tc>
          <w:tcPr>
            <w:tcW w:w="985" w:type="dxa"/>
            <w:tcBorders>
              <w:top w:val="single" w:sz="4" w:space="0" w:color="auto"/>
              <w:left w:val="single" w:sz="4" w:space="0" w:color="auto"/>
              <w:bottom w:val="single" w:sz="4" w:space="0" w:color="auto"/>
              <w:right w:val="single" w:sz="4" w:space="0" w:color="auto"/>
            </w:tcBorders>
            <w:shd w:val="clear" w:color="000000" w:fill="F99698"/>
            <w:noWrap/>
            <w:vAlign w:val="bottom"/>
            <w:hideMark/>
          </w:tcPr>
          <w:p w14:paraId="15547F0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0.271</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99537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5BD3DDED"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5AFCF64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71</w:t>
            </w:r>
          </w:p>
        </w:tc>
        <w:tc>
          <w:tcPr>
            <w:tcW w:w="4840" w:type="dxa"/>
            <w:tcBorders>
              <w:top w:val="nil"/>
              <w:left w:val="nil"/>
              <w:bottom w:val="single" w:sz="4" w:space="0" w:color="auto"/>
              <w:right w:val="single" w:sz="4" w:space="0" w:color="auto"/>
            </w:tcBorders>
            <w:noWrap/>
            <w:vAlign w:val="bottom"/>
            <w:hideMark/>
          </w:tcPr>
          <w:p w14:paraId="35814E33"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University of Bucharest (Romania)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CA1C1C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24940BE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6</w:t>
            </w:r>
          </w:p>
        </w:tc>
        <w:tc>
          <w:tcPr>
            <w:tcW w:w="985" w:type="dxa"/>
            <w:tcBorders>
              <w:top w:val="single" w:sz="4" w:space="0" w:color="auto"/>
              <w:left w:val="single" w:sz="4" w:space="0" w:color="auto"/>
              <w:bottom w:val="single" w:sz="4" w:space="0" w:color="auto"/>
              <w:right w:val="single" w:sz="4" w:space="0" w:color="auto"/>
            </w:tcBorders>
            <w:shd w:val="clear" w:color="000000" w:fill="F9FBFC"/>
            <w:noWrap/>
            <w:vAlign w:val="bottom"/>
            <w:hideMark/>
          </w:tcPr>
          <w:p w14:paraId="5E991BC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0.403</w:t>
            </w:r>
          </w:p>
        </w:tc>
        <w:tc>
          <w:tcPr>
            <w:tcW w:w="1092" w:type="dxa"/>
            <w:tcBorders>
              <w:top w:val="single" w:sz="4" w:space="0" w:color="auto"/>
              <w:left w:val="single" w:sz="4" w:space="0" w:color="auto"/>
              <w:bottom w:val="single" w:sz="4" w:space="0" w:color="auto"/>
              <w:right w:val="single" w:sz="4" w:space="0" w:color="auto"/>
            </w:tcBorders>
            <w:shd w:val="clear" w:color="000000" w:fill="FBE3E6"/>
            <w:noWrap/>
            <w:vAlign w:val="bottom"/>
            <w:hideMark/>
          </w:tcPr>
          <w:p w14:paraId="32CC1F2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0.007</w:t>
            </w:r>
          </w:p>
        </w:tc>
      </w:tr>
      <w:tr w:rsidR="00FC14BB" w:rsidRPr="00405EC9" w14:paraId="4F12D854"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69F5C73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72</w:t>
            </w:r>
          </w:p>
        </w:tc>
        <w:tc>
          <w:tcPr>
            <w:tcW w:w="4840" w:type="dxa"/>
            <w:tcBorders>
              <w:top w:val="nil"/>
              <w:left w:val="nil"/>
              <w:bottom w:val="single" w:sz="4" w:space="0" w:color="auto"/>
              <w:right w:val="single" w:sz="4" w:space="0" w:color="auto"/>
            </w:tcBorders>
            <w:noWrap/>
            <w:vAlign w:val="bottom"/>
            <w:hideMark/>
          </w:tcPr>
          <w:p w14:paraId="14E8FF1F"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PROFACTOR GmbH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9901630"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37B005A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2</w:t>
            </w:r>
          </w:p>
        </w:tc>
        <w:tc>
          <w:tcPr>
            <w:tcW w:w="985" w:type="dxa"/>
            <w:tcBorders>
              <w:top w:val="single" w:sz="4" w:space="0" w:color="auto"/>
              <w:left w:val="single" w:sz="4" w:space="0" w:color="auto"/>
              <w:bottom w:val="single" w:sz="4" w:space="0" w:color="auto"/>
              <w:right w:val="single" w:sz="4" w:space="0" w:color="auto"/>
            </w:tcBorders>
            <w:shd w:val="clear" w:color="000000" w:fill="FBF7F9"/>
            <w:noWrap/>
            <w:vAlign w:val="bottom"/>
            <w:hideMark/>
          </w:tcPr>
          <w:p w14:paraId="76D6C0A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0.393</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7AA65DF"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r w:rsidR="00FC14BB" w:rsidRPr="00405EC9" w14:paraId="6F82E479"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2101F0D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73</w:t>
            </w:r>
          </w:p>
        </w:tc>
        <w:tc>
          <w:tcPr>
            <w:tcW w:w="4840" w:type="dxa"/>
            <w:tcBorders>
              <w:top w:val="nil"/>
              <w:left w:val="nil"/>
              <w:bottom w:val="single" w:sz="4" w:space="0" w:color="auto"/>
              <w:right w:val="single" w:sz="4" w:space="0" w:color="auto"/>
            </w:tcBorders>
            <w:noWrap/>
            <w:vAlign w:val="bottom"/>
            <w:hideMark/>
          </w:tcPr>
          <w:p w14:paraId="62808E1D"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AVL List GmbH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8D8E8F7"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46E444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5</w:t>
            </w:r>
          </w:p>
        </w:tc>
        <w:tc>
          <w:tcPr>
            <w:tcW w:w="985" w:type="dxa"/>
            <w:tcBorders>
              <w:top w:val="single" w:sz="4" w:space="0" w:color="auto"/>
              <w:left w:val="single" w:sz="4" w:space="0" w:color="auto"/>
              <w:bottom w:val="single" w:sz="4" w:space="0" w:color="auto"/>
              <w:right w:val="single" w:sz="4" w:space="0" w:color="auto"/>
            </w:tcBorders>
            <w:shd w:val="clear" w:color="000000" w:fill="FBF7F9"/>
            <w:noWrap/>
            <w:vAlign w:val="bottom"/>
            <w:hideMark/>
          </w:tcPr>
          <w:p w14:paraId="053EAEC4"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0.393</w:t>
            </w:r>
          </w:p>
        </w:tc>
        <w:tc>
          <w:tcPr>
            <w:tcW w:w="1092" w:type="dxa"/>
            <w:tcBorders>
              <w:top w:val="single" w:sz="4" w:space="0" w:color="auto"/>
              <w:left w:val="single" w:sz="4" w:space="0" w:color="auto"/>
              <w:bottom w:val="single" w:sz="4" w:space="0" w:color="auto"/>
              <w:right w:val="single" w:sz="4" w:space="0" w:color="auto"/>
            </w:tcBorders>
            <w:shd w:val="clear" w:color="000000" w:fill="F87C7E"/>
            <w:noWrap/>
            <w:vAlign w:val="bottom"/>
            <w:hideMark/>
          </w:tcPr>
          <w:p w14:paraId="50C34D8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0.001</w:t>
            </w:r>
          </w:p>
        </w:tc>
      </w:tr>
      <w:tr w:rsidR="00FC14BB" w:rsidRPr="00405EC9" w14:paraId="150F289B"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0B83F663"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74</w:t>
            </w:r>
          </w:p>
        </w:tc>
        <w:tc>
          <w:tcPr>
            <w:tcW w:w="4840" w:type="dxa"/>
            <w:tcBorders>
              <w:top w:val="nil"/>
              <w:left w:val="nil"/>
              <w:bottom w:val="single" w:sz="4" w:space="0" w:color="auto"/>
              <w:right w:val="single" w:sz="4" w:space="0" w:color="auto"/>
            </w:tcBorders>
            <w:noWrap/>
            <w:vAlign w:val="bottom"/>
            <w:hideMark/>
          </w:tcPr>
          <w:p w14:paraId="608FF454" w14:textId="77777777" w:rsidR="00405EC9" w:rsidRPr="00405EC9" w:rsidRDefault="00405EC9" w:rsidP="00405EC9">
            <w:pPr>
              <w:spacing w:after="0" w:line="240" w:lineRule="auto"/>
              <w:rPr>
                <w:rFonts w:eastAsia="Times New Roman" w:cs="Calibri"/>
                <w:color w:val="000000"/>
                <w:kern w:val="0"/>
                <w:sz w:val="16"/>
                <w:szCs w:val="16"/>
                <w14:ligatures w14:val="none"/>
              </w:rPr>
            </w:pPr>
            <w:proofErr w:type="spellStart"/>
            <w:r w:rsidRPr="00405EC9">
              <w:rPr>
                <w:rFonts w:eastAsia="Times New Roman" w:cs="Calibri"/>
                <w:color w:val="000000"/>
                <w:kern w:val="0"/>
                <w:sz w:val="16"/>
                <w:szCs w:val="16"/>
                <w14:ligatures w14:val="none"/>
              </w:rPr>
              <w:t>Biomin</w:t>
            </w:r>
            <w:proofErr w:type="spellEnd"/>
            <w:r w:rsidRPr="00405EC9">
              <w:rPr>
                <w:rFonts w:eastAsia="Times New Roman" w:cs="Calibri"/>
                <w:color w:val="000000"/>
                <w:kern w:val="0"/>
                <w:sz w:val="16"/>
                <w:szCs w:val="16"/>
                <w14:ligatures w14:val="none"/>
              </w:rPr>
              <w:t xml:space="preserve"> Holding GmbH (Austria)</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D9D157B"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5E4DD6CA"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985"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6B35EBAE"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0.385</w:t>
            </w:r>
          </w:p>
        </w:tc>
        <w:tc>
          <w:tcPr>
            <w:tcW w:w="1092"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0E9F6C6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0.017</w:t>
            </w:r>
          </w:p>
        </w:tc>
      </w:tr>
      <w:tr w:rsidR="00FC14BB" w:rsidRPr="00405EC9" w14:paraId="6C58F535" w14:textId="77777777" w:rsidTr="00FC14BB">
        <w:trPr>
          <w:trHeight w:val="170"/>
        </w:trPr>
        <w:tc>
          <w:tcPr>
            <w:tcW w:w="400" w:type="dxa"/>
            <w:tcBorders>
              <w:top w:val="nil"/>
              <w:left w:val="single" w:sz="4" w:space="0" w:color="auto"/>
              <w:bottom w:val="single" w:sz="4" w:space="0" w:color="auto"/>
              <w:right w:val="single" w:sz="4" w:space="0" w:color="auto"/>
            </w:tcBorders>
            <w:noWrap/>
            <w:vAlign w:val="bottom"/>
            <w:hideMark/>
          </w:tcPr>
          <w:p w14:paraId="01956CB9"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75</w:t>
            </w:r>
          </w:p>
        </w:tc>
        <w:tc>
          <w:tcPr>
            <w:tcW w:w="4840" w:type="dxa"/>
            <w:tcBorders>
              <w:top w:val="nil"/>
              <w:left w:val="nil"/>
              <w:bottom w:val="single" w:sz="4" w:space="0" w:color="auto"/>
              <w:right w:val="single" w:sz="4" w:space="0" w:color="auto"/>
            </w:tcBorders>
            <w:noWrap/>
            <w:vAlign w:val="bottom"/>
            <w:hideMark/>
          </w:tcPr>
          <w:p w14:paraId="5C78A157" w14:textId="77777777" w:rsidR="00405EC9" w:rsidRPr="00405EC9" w:rsidRDefault="00405EC9" w:rsidP="00405EC9">
            <w:pPr>
              <w:spacing w:after="0" w:line="240" w:lineRule="auto"/>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Biology Centre, Czech Academy of Sciences (Czech Republic)</w:t>
            </w:r>
          </w:p>
        </w:tc>
        <w:tc>
          <w:tcPr>
            <w:tcW w:w="8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AD25FE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3</w:t>
            </w:r>
          </w:p>
        </w:tc>
        <w:tc>
          <w:tcPr>
            <w:tcW w:w="11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B6B375"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1</w:t>
            </w:r>
          </w:p>
        </w:tc>
        <w:tc>
          <w:tcPr>
            <w:tcW w:w="985" w:type="dxa"/>
            <w:tcBorders>
              <w:top w:val="single" w:sz="4" w:space="0" w:color="auto"/>
              <w:left w:val="single" w:sz="4" w:space="0" w:color="auto"/>
              <w:bottom w:val="single" w:sz="4" w:space="0" w:color="auto"/>
              <w:right w:val="single" w:sz="4" w:space="0" w:color="auto"/>
            </w:tcBorders>
            <w:shd w:val="clear" w:color="000000" w:fill="F9AFB1"/>
            <w:noWrap/>
            <w:vAlign w:val="bottom"/>
            <w:hideMark/>
          </w:tcPr>
          <w:p w14:paraId="630F575C"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0.302</w:t>
            </w:r>
          </w:p>
        </w:tc>
        <w:tc>
          <w:tcPr>
            <w:tcW w:w="10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9745AD" w14:textId="77777777" w:rsidR="00405EC9" w:rsidRPr="00405EC9" w:rsidRDefault="00405EC9" w:rsidP="00405EC9">
            <w:pPr>
              <w:spacing w:after="0" w:line="240" w:lineRule="auto"/>
              <w:jc w:val="right"/>
              <w:rPr>
                <w:rFonts w:eastAsia="Times New Roman" w:cs="Calibri"/>
                <w:color w:val="000000"/>
                <w:kern w:val="0"/>
                <w:sz w:val="16"/>
                <w:szCs w:val="16"/>
                <w14:ligatures w14:val="none"/>
              </w:rPr>
            </w:pPr>
            <w:r w:rsidRPr="00405EC9">
              <w:rPr>
                <w:rFonts w:eastAsia="Times New Roman" w:cs="Calibri"/>
                <w:color w:val="000000"/>
                <w:kern w:val="0"/>
                <w:sz w:val="16"/>
                <w:szCs w:val="16"/>
                <w14:ligatures w14:val="none"/>
              </w:rPr>
              <w:t>0.000</w:t>
            </w:r>
          </w:p>
        </w:tc>
      </w:tr>
    </w:tbl>
    <w:p w14:paraId="2DCA99DB" w14:textId="77777777" w:rsidR="00B0038D" w:rsidRPr="00B0038D" w:rsidRDefault="00B0038D" w:rsidP="00B0038D">
      <w:pPr>
        <w:spacing w:after="0"/>
        <w:rPr>
          <w:sz w:val="18"/>
          <w:szCs w:val="18"/>
          <w:lang w:val="en-GB"/>
        </w:rPr>
      </w:pPr>
      <w:r w:rsidRPr="00B0038D">
        <w:rPr>
          <w:sz w:val="18"/>
          <w:szCs w:val="18"/>
          <w:lang w:val="en-GB"/>
        </w:rPr>
        <w:t>Source: cordis database</w:t>
      </w:r>
    </w:p>
    <w:p w14:paraId="507D383B" w14:textId="77777777" w:rsidR="00B0038D" w:rsidRPr="00B0038D" w:rsidRDefault="00B0038D" w:rsidP="00B0038D">
      <w:pPr>
        <w:spacing w:after="0"/>
        <w:rPr>
          <w:sz w:val="18"/>
          <w:szCs w:val="18"/>
          <w:lang w:val="en-GB"/>
        </w:rPr>
      </w:pPr>
      <w:r w:rsidRPr="00B0038D">
        <w:rPr>
          <w:sz w:val="18"/>
          <w:szCs w:val="18"/>
          <w:lang w:val="en-GB"/>
        </w:rPr>
        <w:t>Note: the table includes only organizations from the Danube region that have participated in at least three Horizon Europe projects</w:t>
      </w:r>
    </w:p>
    <w:p w14:paraId="739B384A" w14:textId="6EE308D2" w:rsidR="00B0038D" w:rsidRDefault="00B0038D" w:rsidP="00B0038D">
      <w:pPr>
        <w:rPr>
          <w:sz w:val="18"/>
          <w:szCs w:val="18"/>
          <w:lang w:val="en-GB"/>
        </w:rPr>
      </w:pPr>
      <w:r w:rsidRPr="00B0038D">
        <w:rPr>
          <w:sz w:val="18"/>
          <w:szCs w:val="18"/>
          <w:lang w:val="en-GB"/>
        </w:rPr>
        <w:t>The colour coding in the table represents different levels of performance: green cells indicate higher values, signifying strong participation and centrality within the network. Red cells highlight lower values, pointing to weaker integration and limited engagement in Horizon Europe projects.</w:t>
      </w:r>
    </w:p>
    <w:p w14:paraId="0DC16727" w14:textId="77777777" w:rsidR="00EC4C46" w:rsidRPr="00B0038D" w:rsidRDefault="00EC4C46" w:rsidP="00B0038D">
      <w:pPr>
        <w:rPr>
          <w:sz w:val="18"/>
          <w:szCs w:val="18"/>
          <w:lang w:val="en-GB"/>
        </w:rPr>
      </w:pPr>
    </w:p>
    <w:p w14:paraId="2192FFBA" w14:textId="54E4B5D6" w:rsidR="00802835" w:rsidRPr="00516C1F" w:rsidRDefault="002821DA" w:rsidP="00B0038D">
      <w:pPr>
        <w:pStyle w:val="Heading3"/>
        <w:numPr>
          <w:ilvl w:val="2"/>
          <w:numId w:val="2"/>
        </w:numPr>
        <w:rPr>
          <w:lang w:val="en-GB"/>
        </w:rPr>
      </w:pPr>
      <w:bookmarkStart w:id="18" w:name="_Toc208824194"/>
      <w:r w:rsidRPr="00516C1F">
        <w:rPr>
          <w:lang w:val="en-GB"/>
        </w:rPr>
        <w:t xml:space="preserve">Research cooperation </w:t>
      </w:r>
      <w:r w:rsidR="00B07451" w:rsidRPr="00516C1F">
        <w:rPr>
          <w:lang w:val="en-GB"/>
        </w:rPr>
        <w:t>in</w:t>
      </w:r>
      <w:r w:rsidRPr="00516C1F">
        <w:rPr>
          <w:lang w:val="en-GB"/>
        </w:rPr>
        <w:t xml:space="preserve"> ICT</w:t>
      </w:r>
      <w:r w:rsidR="0080142F" w:rsidRPr="00516C1F">
        <w:rPr>
          <w:lang w:val="en-GB"/>
        </w:rPr>
        <w:t xml:space="preserve"> </w:t>
      </w:r>
      <w:bookmarkStart w:id="19" w:name="_Hlk190190789"/>
      <w:r w:rsidR="0080142F" w:rsidRPr="00516C1F">
        <w:rPr>
          <w:lang w:val="en-GB"/>
        </w:rPr>
        <w:t>and Digitalisation</w:t>
      </w:r>
      <w:bookmarkEnd w:id="18"/>
      <w:bookmarkEnd w:id="19"/>
    </w:p>
    <w:p w14:paraId="05038630" w14:textId="6B27B8A6" w:rsidR="004B59A5" w:rsidRPr="004B59A5" w:rsidRDefault="004B59A5" w:rsidP="004B59A5">
      <w:pPr>
        <w:jc w:val="both"/>
        <w:rPr>
          <w:rFonts w:cs="Calibri"/>
          <w:lang w:val="en-GB"/>
        </w:rPr>
      </w:pPr>
      <w:r w:rsidRPr="004B59A5">
        <w:rPr>
          <w:rFonts w:cs="Calibri"/>
          <w:lang w:val="en-GB"/>
        </w:rPr>
        <w:t xml:space="preserve">The ICT </w:t>
      </w:r>
      <w:r w:rsidR="00C80DAE">
        <w:rPr>
          <w:rFonts w:cs="Calibri"/>
          <w:lang w:val="en-GB"/>
        </w:rPr>
        <w:t>and</w:t>
      </w:r>
      <w:r w:rsidRPr="004B59A5">
        <w:rPr>
          <w:rFonts w:cs="Calibri"/>
          <w:lang w:val="en-GB"/>
        </w:rPr>
        <w:t xml:space="preserve"> Digitalisation cooperation network in the Danube Region shows a robust and more interconnected structure than the Agri-Food, Bioeconomy &amp; Biotechnology network (Figure </w:t>
      </w:r>
      <w:r>
        <w:rPr>
          <w:rFonts w:cs="Calibri"/>
          <w:lang w:val="en-GB"/>
        </w:rPr>
        <w:t>6</w:t>
      </w:r>
      <w:r w:rsidRPr="004B59A5">
        <w:rPr>
          <w:rFonts w:cs="Calibri"/>
          <w:lang w:val="en-GB"/>
        </w:rPr>
        <w:t>). A significant number of organisations participate in Horizon Europe projects, and the level of interlinkage is comparatively stronger. Nevertheless, the network is still characterised by a concentration of activity around a limited number of dominant institutions, which act as central hubs for regional collaboration.</w:t>
      </w:r>
    </w:p>
    <w:p w14:paraId="733F96CF" w14:textId="0C34AD04" w:rsidR="004B59A5" w:rsidRPr="004B59A5" w:rsidRDefault="004B59A5" w:rsidP="00C7471A">
      <w:pPr>
        <w:jc w:val="both"/>
        <w:rPr>
          <w:rFonts w:cs="Calibri"/>
          <w:lang w:val="en-GB"/>
        </w:rPr>
      </w:pPr>
      <w:r w:rsidRPr="004B59A5">
        <w:rPr>
          <w:rFonts w:cs="Calibri"/>
          <w:lang w:val="en-GB"/>
        </w:rPr>
        <w:t xml:space="preserve">As in other domains, large and well-established research organisations lead the network. The Fraunhofer Society (Germany) occupies the most central position, with 92 project participations and the highest values for degree, closeness, and betweenness centrality (Table 4). Other major actors include the Technical University of Munich (Germany, 52 projects) and the Max Planck Society for the Advancement of Science (Germany, 35 projects), both of which leverage their size and resources to shape research directions and ensure knowledge exchange across multiple ICT domains, including artificial intelligence, the Internet of Things, data science, and cybersecurity. </w:t>
      </w:r>
    </w:p>
    <w:p w14:paraId="57192B10" w14:textId="5696005F" w:rsidR="004B59A5" w:rsidRDefault="004B59A5" w:rsidP="004B59A5">
      <w:pPr>
        <w:jc w:val="both"/>
        <w:rPr>
          <w:rFonts w:cs="Calibri"/>
          <w:lang w:val="en-GB"/>
        </w:rPr>
      </w:pPr>
      <w:r w:rsidRPr="004B59A5">
        <w:rPr>
          <w:rFonts w:cs="Calibri"/>
          <w:lang w:val="en-GB"/>
        </w:rPr>
        <w:t>The geographical distribution of the network reflects once again the dominance of Germany and Austria, which host several of the central hubs. Slovenia also shows strong representation through the Jožef Stefan Institute, while organisations from Romania and Serbia appear as emerging contributors.</w:t>
      </w:r>
      <w:r w:rsidR="00FD03CB">
        <w:rPr>
          <w:rFonts w:cs="Calibri"/>
          <w:lang w:val="en-GB"/>
        </w:rPr>
        <w:t xml:space="preserve"> </w:t>
      </w:r>
      <w:r w:rsidRPr="004B59A5">
        <w:rPr>
          <w:rFonts w:cs="Calibri"/>
          <w:lang w:val="en-GB"/>
        </w:rPr>
        <w:t>These organisations, while more peripheral in the network, add thematic diversity and broaden the scope of regional collaboration.</w:t>
      </w:r>
    </w:p>
    <w:p w14:paraId="517FD2ED" w14:textId="77777777" w:rsidR="00867EA0" w:rsidRDefault="00867EA0" w:rsidP="004B59A5">
      <w:pPr>
        <w:jc w:val="both"/>
        <w:rPr>
          <w:rFonts w:cs="Calibri"/>
          <w:lang w:val="en-GB"/>
        </w:rPr>
      </w:pPr>
    </w:p>
    <w:p w14:paraId="35F5F155" w14:textId="77777777" w:rsidR="00867EA0" w:rsidRDefault="00867EA0" w:rsidP="004B59A5">
      <w:pPr>
        <w:jc w:val="both"/>
        <w:rPr>
          <w:rFonts w:cs="Calibri"/>
          <w:lang w:val="en-GB"/>
        </w:rPr>
      </w:pPr>
    </w:p>
    <w:p w14:paraId="49683BF7" w14:textId="77777777" w:rsidR="00867EA0" w:rsidRDefault="00867EA0" w:rsidP="004B59A5">
      <w:pPr>
        <w:jc w:val="both"/>
        <w:rPr>
          <w:rFonts w:cs="Calibri"/>
          <w:lang w:val="en-GB"/>
        </w:rPr>
      </w:pPr>
    </w:p>
    <w:p w14:paraId="239F556F" w14:textId="3DDDCAF5" w:rsidR="002821DA" w:rsidRPr="00516C1F" w:rsidRDefault="002821DA" w:rsidP="00B92356">
      <w:pPr>
        <w:spacing w:after="0"/>
        <w:jc w:val="both"/>
        <w:rPr>
          <w:rFonts w:cs="Calibri"/>
          <w:lang w:val="en-GB"/>
        </w:rPr>
      </w:pPr>
      <w:r w:rsidRPr="00516C1F">
        <w:rPr>
          <w:rFonts w:cs="Calibri"/>
          <w:b/>
          <w:bCs/>
          <w:lang w:val="en-GB"/>
        </w:rPr>
        <w:lastRenderedPageBreak/>
        <w:t>Figure</w:t>
      </w:r>
      <w:r w:rsidR="005A0559" w:rsidRPr="00516C1F">
        <w:rPr>
          <w:rFonts w:cs="Calibri"/>
          <w:b/>
          <w:bCs/>
          <w:lang w:val="en-GB"/>
        </w:rPr>
        <w:t xml:space="preserve"> </w:t>
      </w:r>
      <w:r w:rsidR="004B59A5">
        <w:rPr>
          <w:rFonts w:cs="Calibri"/>
          <w:b/>
          <w:bCs/>
          <w:lang w:val="en-GB"/>
        </w:rPr>
        <w:t>6</w:t>
      </w:r>
      <w:r w:rsidRPr="00516C1F">
        <w:rPr>
          <w:rFonts w:cs="Calibri"/>
          <w:lang w:val="en-GB"/>
        </w:rPr>
        <w:t>: ICT</w:t>
      </w:r>
      <w:r w:rsidR="00A672A9" w:rsidRPr="00516C1F">
        <w:rPr>
          <w:lang w:val="en-GB"/>
        </w:rPr>
        <w:t xml:space="preserve"> </w:t>
      </w:r>
      <w:r w:rsidR="00A672A9" w:rsidRPr="00516C1F">
        <w:rPr>
          <w:rFonts w:cs="Calibri"/>
          <w:lang w:val="en-GB"/>
        </w:rPr>
        <w:t>and Digitalisation</w:t>
      </w:r>
      <w:r w:rsidRPr="00516C1F">
        <w:rPr>
          <w:rFonts w:cs="Calibri"/>
          <w:lang w:val="en-GB"/>
        </w:rPr>
        <w:t xml:space="preserve"> </w:t>
      </w:r>
      <w:r w:rsidR="00B92356" w:rsidRPr="00B92356">
        <w:rPr>
          <w:rFonts w:cs="Calibri"/>
          <w:lang w:val="en-GB"/>
        </w:rPr>
        <w:t>Cooperation Network in the Danube Region (Horizon Europe)</w:t>
      </w:r>
    </w:p>
    <w:p w14:paraId="26487A45" w14:textId="0D08A1B8" w:rsidR="005C0715" w:rsidRPr="00516C1F" w:rsidRDefault="002821DA" w:rsidP="00A7690D">
      <w:pPr>
        <w:spacing w:after="0"/>
        <w:jc w:val="both"/>
        <w:rPr>
          <w:rFonts w:cs="Calibri"/>
          <w:lang w:val="en-GB"/>
        </w:rPr>
      </w:pPr>
      <w:r w:rsidRPr="00516C1F">
        <w:rPr>
          <w:rFonts w:cs="Calibri"/>
          <w:noProof/>
          <w:lang w:val="en-GB"/>
        </w:rPr>
        <w:drawing>
          <wp:inline distT="0" distB="0" distL="0" distR="0" wp14:anchorId="51409C0F" wp14:editId="6FFF980D">
            <wp:extent cx="6141556" cy="3131800"/>
            <wp:effectExtent l="0" t="0" r="0" b="0"/>
            <wp:docPr id="1511544088" name="Picture 2"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44088" name="Picture 2" descr="A close-up of a networ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3750" cy="3153316"/>
                    </a:xfrm>
                    <a:prstGeom prst="rect">
                      <a:avLst/>
                    </a:prstGeom>
                  </pic:spPr>
                </pic:pic>
              </a:graphicData>
            </a:graphic>
          </wp:inline>
        </w:drawing>
      </w:r>
    </w:p>
    <w:p w14:paraId="52A29820" w14:textId="77777777" w:rsidR="00A7690D" w:rsidRPr="00516C1F" w:rsidRDefault="00A7690D" w:rsidP="00A7690D">
      <w:pPr>
        <w:spacing w:after="0"/>
        <w:jc w:val="center"/>
        <w:rPr>
          <w:lang w:val="en-GB"/>
        </w:rPr>
      </w:pPr>
      <w:r>
        <w:rPr>
          <w:noProof/>
          <w:lang w:val="en-GB"/>
        </w:rPr>
        <w:drawing>
          <wp:inline distT="0" distB="0" distL="0" distR="0" wp14:anchorId="42B2DD17" wp14:editId="62D8908C">
            <wp:extent cx="1298659" cy="480060"/>
            <wp:effectExtent l="0" t="0" r="0" b="0"/>
            <wp:docPr id="998641852" name="Picture 34" descr="A group of circles with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40931" name="Picture 34" descr="A group of circles with different colo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4313" cy="489543"/>
                    </a:xfrm>
                    <a:prstGeom prst="rect">
                      <a:avLst/>
                    </a:prstGeom>
                  </pic:spPr>
                </pic:pic>
              </a:graphicData>
            </a:graphic>
          </wp:inline>
        </w:drawing>
      </w:r>
    </w:p>
    <w:p w14:paraId="63B962B9" w14:textId="77777777" w:rsidR="005216E7" w:rsidRPr="005F26B3" w:rsidRDefault="005216E7" w:rsidP="005216E7">
      <w:pPr>
        <w:jc w:val="center"/>
        <w:rPr>
          <w:rFonts w:cs="Calibri"/>
          <w:sz w:val="18"/>
          <w:szCs w:val="18"/>
          <w:lang w:val="en-GB"/>
        </w:rPr>
      </w:pPr>
      <w:r w:rsidRPr="005F26B3">
        <w:rPr>
          <w:rFonts w:cs="Calibri"/>
          <w:sz w:val="18"/>
          <w:szCs w:val="18"/>
          <w:lang w:val="en-GB"/>
        </w:rPr>
        <w:t xml:space="preserve">Source: Author's visualization using </w:t>
      </w:r>
      <w:proofErr w:type="spellStart"/>
      <w:r w:rsidRPr="005F26B3">
        <w:rPr>
          <w:rFonts w:cs="Calibri"/>
          <w:sz w:val="18"/>
          <w:szCs w:val="18"/>
          <w:lang w:val="en-GB"/>
        </w:rPr>
        <w:t>Pajek</w:t>
      </w:r>
      <w:proofErr w:type="spellEnd"/>
      <w:r w:rsidRPr="005F26B3">
        <w:rPr>
          <w:rFonts w:cs="Calibri"/>
          <w:sz w:val="18"/>
          <w:szCs w:val="18"/>
          <w:lang w:val="en-GB"/>
        </w:rPr>
        <w:t xml:space="preserve"> software</w:t>
      </w:r>
    </w:p>
    <w:p w14:paraId="261A0CAA" w14:textId="77777777" w:rsidR="005216E7" w:rsidRPr="00516C1F" w:rsidRDefault="005216E7" w:rsidP="00735EDF">
      <w:pPr>
        <w:rPr>
          <w:rFonts w:cs="Calibri"/>
          <w:i/>
          <w:iCs/>
          <w:lang w:val="en-GB"/>
        </w:rPr>
      </w:pPr>
    </w:p>
    <w:p w14:paraId="4C54C7FA" w14:textId="3ED15D1F" w:rsidR="00735EDF" w:rsidRPr="00867EA0" w:rsidRDefault="00735EDF" w:rsidP="005743C7">
      <w:pPr>
        <w:tabs>
          <w:tab w:val="left" w:pos="3180"/>
        </w:tabs>
        <w:rPr>
          <w:rFonts w:cs="Calibri"/>
          <w:i/>
          <w:iCs/>
          <w:u w:val="single"/>
          <w:lang w:val="en-GB"/>
        </w:rPr>
      </w:pPr>
      <w:r w:rsidRPr="00867EA0">
        <w:rPr>
          <w:rFonts w:cs="Calibri"/>
          <w:i/>
          <w:iCs/>
          <w:u w:val="single"/>
          <w:lang w:val="en-GB"/>
        </w:rPr>
        <w:t>Degree Centrality</w:t>
      </w:r>
    </w:p>
    <w:p w14:paraId="35DDE5B1" w14:textId="78F08A28" w:rsidR="001C357D" w:rsidRDefault="004A04AD" w:rsidP="00735EDF">
      <w:pPr>
        <w:jc w:val="both"/>
        <w:rPr>
          <w:rFonts w:cs="Calibri"/>
          <w:lang w:val="en-GB"/>
        </w:rPr>
      </w:pPr>
      <w:r w:rsidRPr="004A04AD">
        <w:rPr>
          <w:rFonts w:cs="Calibri"/>
          <w:lang w:val="en-GB"/>
        </w:rPr>
        <w:t xml:space="preserve">The Fraunhofer Society for the Promotion of Applied Research (Germany) leads with the highest degree centrality (81), reflecting its role as a central hub in ICT and Digitalisation collaboration across the Danube Region. Similarly, the Technical University of Munich (Germany) (41) and the Karlsruhe Institute of Technology (Germany) (36) exhibit strong connectivity, underscoring their influence in fostering partnerships and sustaining an extensive research network. </w:t>
      </w:r>
      <w:r w:rsidR="00F727B3" w:rsidRPr="00F727B3">
        <w:rPr>
          <w:rFonts w:cs="Calibri"/>
          <w:lang w:val="en-GB"/>
        </w:rPr>
        <w:t xml:space="preserve">In comparison, the FZI Research </w:t>
      </w:r>
      <w:proofErr w:type="spellStart"/>
      <w:r w:rsidR="00F727B3" w:rsidRPr="00F727B3">
        <w:rPr>
          <w:rFonts w:cs="Calibri"/>
          <w:lang w:val="en-GB"/>
        </w:rPr>
        <w:t>Center</w:t>
      </w:r>
      <w:proofErr w:type="spellEnd"/>
      <w:r w:rsidR="00F727B3" w:rsidRPr="00F727B3">
        <w:rPr>
          <w:rFonts w:cs="Calibri"/>
          <w:lang w:val="en-GB"/>
        </w:rPr>
        <w:t xml:space="preserve"> for Information Technology (Germany) participates in only three Horizon Europe projects but reaches a degree centrality of 23, showing that it maintains direct collaborative links with a relatively large number of partners. This illustrates that centrality does not depend solely on the volume of projects, but also on the breadth of connections established through those projects</w:t>
      </w:r>
    </w:p>
    <w:p w14:paraId="422FD46D" w14:textId="09B62619" w:rsidR="00735EDF" w:rsidRPr="00516C1F" w:rsidRDefault="006E7667" w:rsidP="00735EDF">
      <w:pPr>
        <w:jc w:val="both"/>
        <w:rPr>
          <w:rFonts w:cs="Calibri"/>
          <w:lang w:val="en-GB"/>
        </w:rPr>
      </w:pPr>
      <w:r>
        <w:rPr>
          <w:rFonts w:cs="Calibri"/>
          <w:lang w:val="en-GB"/>
        </w:rPr>
        <w:t>O</w:t>
      </w:r>
      <w:r w:rsidRPr="006E7667">
        <w:rPr>
          <w:rFonts w:cs="Calibri"/>
          <w:lang w:val="en-GB"/>
        </w:rPr>
        <w:t xml:space="preserve">rganizations from the downstream Danube countries record much lower degree centrality values, which points to their limited integration into the regional research network </w:t>
      </w:r>
      <w:r w:rsidR="00D92DDF">
        <w:rPr>
          <w:rFonts w:cs="Calibri"/>
          <w:lang w:val="en-GB"/>
        </w:rPr>
        <w:t>in the area of ICT and Digitalisation</w:t>
      </w:r>
      <w:r w:rsidR="00D92DDF" w:rsidRPr="006E7667">
        <w:rPr>
          <w:rFonts w:cs="Calibri"/>
          <w:lang w:val="en-GB"/>
        </w:rPr>
        <w:t xml:space="preserve"> </w:t>
      </w:r>
      <w:r w:rsidRPr="006E7667">
        <w:rPr>
          <w:rFonts w:cs="Calibri"/>
          <w:lang w:val="en-GB"/>
        </w:rPr>
        <w:t>and reveals structural imbalances in participation and connectivity across the Danube Region</w:t>
      </w:r>
      <w:r w:rsidR="00735EDF" w:rsidRPr="00516C1F">
        <w:rPr>
          <w:rFonts w:cs="Calibri"/>
          <w:lang w:val="en-GB"/>
        </w:rPr>
        <w:t>.</w:t>
      </w:r>
    </w:p>
    <w:p w14:paraId="3FF5420C" w14:textId="77777777" w:rsidR="00735EDF" w:rsidRPr="00867EA0" w:rsidRDefault="00735EDF" w:rsidP="00735EDF">
      <w:pPr>
        <w:rPr>
          <w:rFonts w:cs="Calibri"/>
          <w:i/>
          <w:iCs/>
          <w:u w:val="single"/>
          <w:lang w:val="en-GB"/>
        </w:rPr>
      </w:pPr>
      <w:r w:rsidRPr="00867EA0">
        <w:rPr>
          <w:rFonts w:cs="Calibri"/>
          <w:i/>
          <w:iCs/>
          <w:u w:val="single"/>
          <w:lang w:val="en-GB"/>
        </w:rPr>
        <w:t>Closeness Centrality</w:t>
      </w:r>
    </w:p>
    <w:p w14:paraId="2486487E" w14:textId="334F60E9" w:rsidR="00735EDF" w:rsidRPr="00516C1F" w:rsidRDefault="00570C29" w:rsidP="00735EDF">
      <w:pPr>
        <w:jc w:val="both"/>
        <w:rPr>
          <w:rFonts w:cs="Calibri"/>
          <w:lang w:val="en-GB"/>
        </w:rPr>
      </w:pPr>
      <w:r w:rsidRPr="00516C1F">
        <w:rPr>
          <w:rFonts w:cs="Calibri"/>
          <w:lang w:val="en-GB"/>
        </w:rPr>
        <w:t>The Fraunhofer Society</w:t>
      </w:r>
      <w:r w:rsidR="00BD2272" w:rsidRPr="00516C1F">
        <w:rPr>
          <w:lang w:val="en-GB"/>
        </w:rPr>
        <w:t xml:space="preserve"> </w:t>
      </w:r>
      <w:r w:rsidR="00BD2272" w:rsidRPr="00516C1F">
        <w:rPr>
          <w:rFonts w:cs="Calibri"/>
          <w:lang w:val="en-GB"/>
        </w:rPr>
        <w:t>for the Promotion of Applied Research</w:t>
      </w:r>
      <w:r w:rsidRPr="00516C1F">
        <w:rPr>
          <w:rFonts w:cs="Calibri"/>
          <w:lang w:val="en-GB"/>
        </w:rPr>
        <w:t xml:space="preserve"> demonstrates the highest closeness centrality</w:t>
      </w:r>
      <w:r w:rsidR="00495A74">
        <w:rPr>
          <w:rFonts w:cs="Calibri"/>
          <w:lang w:val="en-GB"/>
        </w:rPr>
        <w:t xml:space="preserve"> </w:t>
      </w:r>
      <w:r w:rsidR="00495A74" w:rsidRPr="00516C1F">
        <w:rPr>
          <w:rFonts w:cs="Calibri"/>
          <w:lang w:val="en-GB"/>
        </w:rPr>
        <w:t>(0.711)</w:t>
      </w:r>
      <w:r w:rsidRPr="00516C1F">
        <w:rPr>
          <w:rFonts w:cs="Calibri"/>
          <w:lang w:val="en-GB"/>
        </w:rPr>
        <w:t>, which underlines its role as a strategic channel for information flow and collaboration. The Technical University of Munich (0.559)</w:t>
      </w:r>
      <w:r w:rsidR="003F2AD8">
        <w:rPr>
          <w:rFonts w:cs="Calibri"/>
          <w:lang w:val="en-GB"/>
        </w:rPr>
        <w:t>,</w:t>
      </w:r>
      <w:r w:rsidRPr="00516C1F">
        <w:rPr>
          <w:rFonts w:cs="Calibri"/>
          <w:lang w:val="en-GB"/>
        </w:rPr>
        <w:t xml:space="preserve"> the Vienna University of Technology (Austria) (0.522) </w:t>
      </w:r>
      <w:r w:rsidR="003F2AD8">
        <w:rPr>
          <w:rFonts w:cs="Calibri"/>
          <w:lang w:val="en-GB"/>
        </w:rPr>
        <w:t>and t</w:t>
      </w:r>
      <w:r w:rsidR="003F2AD8" w:rsidRPr="00516C1F">
        <w:rPr>
          <w:rFonts w:cs="Calibri"/>
          <w:lang w:val="en-GB"/>
        </w:rPr>
        <w:t xml:space="preserve">he Jožef Stefan Institute (Slovenia) (0.520) </w:t>
      </w:r>
      <w:r w:rsidRPr="00516C1F">
        <w:rPr>
          <w:rFonts w:cs="Calibri"/>
          <w:lang w:val="en-GB"/>
        </w:rPr>
        <w:t>also rank highly.</w:t>
      </w:r>
    </w:p>
    <w:p w14:paraId="3AD066EB" w14:textId="6397A6C8" w:rsidR="004F0793" w:rsidRPr="00516C1F" w:rsidRDefault="001534BF" w:rsidP="00735EDF">
      <w:pPr>
        <w:jc w:val="both"/>
        <w:rPr>
          <w:rFonts w:cs="Calibri"/>
          <w:lang w:val="en-GB"/>
        </w:rPr>
      </w:pPr>
      <w:r>
        <w:rPr>
          <w:rFonts w:cs="Calibri"/>
          <w:lang w:val="en-GB"/>
        </w:rPr>
        <w:lastRenderedPageBreak/>
        <w:t xml:space="preserve">In contrast, several organizations with a considerable number of projects have relatively low closeness centrality scores, including Charles University (Czech Republic), the International Institute for Applied Systems Analysis (Austria) and Helmholtz Zentrum München, German Research </w:t>
      </w:r>
      <w:proofErr w:type="spellStart"/>
      <w:r>
        <w:rPr>
          <w:rFonts w:cs="Calibri"/>
          <w:lang w:val="en-GB"/>
        </w:rPr>
        <w:t>Center</w:t>
      </w:r>
      <w:proofErr w:type="spellEnd"/>
      <w:r>
        <w:rPr>
          <w:rFonts w:cs="Calibri"/>
          <w:lang w:val="en-GB"/>
        </w:rPr>
        <w:t xml:space="preserve"> for Environmental Health (Germany). Although these institutions actively participate in Horizon Europe projects, their collaborations are located at the periphery of the network, making them less directly connected to most other actors and reducing their overall influence on the cohesion and efficiency of regional cooperation in this area.</w:t>
      </w:r>
    </w:p>
    <w:p w14:paraId="3127CA73" w14:textId="77777777" w:rsidR="00735EDF" w:rsidRPr="00867EA0" w:rsidRDefault="00735EDF" w:rsidP="00735EDF">
      <w:pPr>
        <w:rPr>
          <w:rFonts w:cs="Calibri"/>
          <w:i/>
          <w:iCs/>
          <w:u w:val="single"/>
          <w:lang w:val="en-GB"/>
        </w:rPr>
      </w:pPr>
      <w:r w:rsidRPr="00867EA0">
        <w:rPr>
          <w:rFonts w:cs="Calibri"/>
          <w:i/>
          <w:iCs/>
          <w:u w:val="single"/>
          <w:lang w:val="en-GB"/>
        </w:rPr>
        <w:t>Betweenness Centrality</w:t>
      </w:r>
    </w:p>
    <w:p w14:paraId="18DDAD9A" w14:textId="2D1FE265" w:rsidR="00735EDF" w:rsidRPr="00516C1F" w:rsidRDefault="00735EDF" w:rsidP="00735EDF">
      <w:pPr>
        <w:jc w:val="both"/>
        <w:rPr>
          <w:rFonts w:cs="Calibri"/>
          <w:lang w:val="en-GB"/>
        </w:rPr>
      </w:pPr>
      <w:r w:rsidRPr="00516C1F">
        <w:rPr>
          <w:rFonts w:cs="Calibri"/>
          <w:lang w:val="en-GB"/>
        </w:rPr>
        <w:t>The Fraunhofer Society</w:t>
      </w:r>
      <w:r w:rsidR="00BD2272" w:rsidRPr="00516C1F">
        <w:rPr>
          <w:lang w:val="en-GB"/>
        </w:rPr>
        <w:t xml:space="preserve"> </w:t>
      </w:r>
      <w:r w:rsidR="00BD2272" w:rsidRPr="00516C1F">
        <w:rPr>
          <w:rFonts w:cs="Calibri"/>
          <w:lang w:val="en-GB"/>
        </w:rPr>
        <w:t>for the Promotion of Applied Research</w:t>
      </w:r>
      <w:r w:rsidRPr="00516C1F">
        <w:rPr>
          <w:rFonts w:cs="Calibri"/>
          <w:lang w:val="en-GB"/>
        </w:rPr>
        <w:t xml:space="preserve"> (0.432) again emerges as the dominant player, enabling the flow of knowledge and collaboration across thematic and geographical divides. The Technical University of Munich (0.083) and the Karlsruhe Institute of Technology (0.073) also play significant bridging roles, linking various subfields and facilitating interdisciplinary research.</w:t>
      </w:r>
    </w:p>
    <w:p w14:paraId="3181FB09" w14:textId="67EA8CCD" w:rsidR="005C0715" w:rsidRPr="00516C1F" w:rsidRDefault="00735EDF" w:rsidP="00735EDF">
      <w:pPr>
        <w:jc w:val="both"/>
        <w:rPr>
          <w:rFonts w:cs="Calibri"/>
          <w:lang w:val="en-GB"/>
        </w:rPr>
      </w:pPr>
      <w:r w:rsidRPr="00516C1F">
        <w:rPr>
          <w:rFonts w:cs="Calibri"/>
          <w:lang w:val="en-GB"/>
        </w:rPr>
        <w:t xml:space="preserve">Interestingly, the </w:t>
      </w:r>
      <w:proofErr w:type="spellStart"/>
      <w:r w:rsidRPr="00516C1F">
        <w:rPr>
          <w:rFonts w:cs="Calibri"/>
          <w:lang w:val="en-GB"/>
        </w:rPr>
        <w:t>Foodscale</w:t>
      </w:r>
      <w:proofErr w:type="spellEnd"/>
      <w:r w:rsidRPr="00516C1F">
        <w:rPr>
          <w:rFonts w:cs="Calibri"/>
          <w:lang w:val="en-GB"/>
        </w:rPr>
        <w:t xml:space="preserve"> Hub (Serbia) demonstrates noteworthy betweenness centrality despite its lower degree centrality. This highlights its unique role as a bridge within specific clusters, showcasing its potential to connect smaller, specialized organizations to larger research networks.</w:t>
      </w:r>
    </w:p>
    <w:p w14:paraId="628867BA" w14:textId="5AFAA3AF" w:rsidR="005C0715" w:rsidRPr="00516C1F" w:rsidRDefault="00F61564" w:rsidP="00CE43FD">
      <w:pPr>
        <w:spacing w:after="0"/>
        <w:jc w:val="both"/>
        <w:rPr>
          <w:rFonts w:cs="Calibri"/>
          <w:lang w:val="en-GB"/>
        </w:rPr>
      </w:pPr>
      <w:r w:rsidRPr="00516C1F">
        <w:rPr>
          <w:rFonts w:cs="Calibri"/>
          <w:b/>
          <w:bCs/>
          <w:lang w:val="en-GB"/>
        </w:rPr>
        <w:t xml:space="preserve">Table </w:t>
      </w:r>
      <w:r w:rsidR="00B9291A">
        <w:rPr>
          <w:rFonts w:cs="Calibri"/>
          <w:b/>
          <w:bCs/>
          <w:lang w:val="en-GB"/>
        </w:rPr>
        <w:t>4</w:t>
      </w:r>
      <w:r w:rsidRPr="00516C1F">
        <w:rPr>
          <w:rFonts w:cs="Calibri"/>
          <w:lang w:val="en-GB"/>
        </w:rPr>
        <w:t xml:space="preserve">: </w:t>
      </w:r>
      <w:r w:rsidR="00474C71" w:rsidRPr="00516C1F">
        <w:rPr>
          <w:rFonts w:cs="Calibri"/>
          <w:lang w:val="en-GB"/>
        </w:rPr>
        <w:t xml:space="preserve">Key Metrics from the Social </w:t>
      </w:r>
      <w:r w:rsidR="002F5AFA" w:rsidRPr="00516C1F">
        <w:rPr>
          <w:rFonts w:cs="Calibri"/>
          <w:lang w:val="en-GB"/>
        </w:rPr>
        <w:t>network a</w:t>
      </w:r>
      <w:r w:rsidR="00474C71" w:rsidRPr="00516C1F">
        <w:rPr>
          <w:rFonts w:cs="Calibri"/>
          <w:lang w:val="en-GB"/>
        </w:rPr>
        <w:t xml:space="preserve">nalysis of ICT </w:t>
      </w:r>
      <w:r w:rsidR="009319BB" w:rsidRPr="00516C1F">
        <w:rPr>
          <w:rFonts w:cs="Calibri"/>
          <w:lang w:val="en-GB"/>
        </w:rPr>
        <w:t xml:space="preserve">and Digitalisation </w:t>
      </w:r>
      <w:r w:rsidR="00474C71" w:rsidRPr="00516C1F">
        <w:rPr>
          <w:rFonts w:cs="Calibri"/>
          <w:lang w:val="en-GB"/>
        </w:rPr>
        <w:t xml:space="preserve">Horizon Europe </w:t>
      </w:r>
      <w:r w:rsidR="002F5AFA" w:rsidRPr="00516C1F">
        <w:rPr>
          <w:rFonts w:cs="Calibri"/>
          <w:lang w:val="en-GB"/>
        </w:rPr>
        <w:t>pro</w:t>
      </w:r>
      <w:r w:rsidR="00474C71" w:rsidRPr="00516C1F">
        <w:rPr>
          <w:rFonts w:cs="Calibri"/>
          <w:lang w:val="en-GB"/>
        </w:rPr>
        <w:t xml:space="preserve">jects in the Danube </w:t>
      </w:r>
      <w:r w:rsidR="002F5AFA" w:rsidRPr="00516C1F">
        <w:rPr>
          <w:rFonts w:cs="Calibri"/>
          <w:lang w:val="en-GB"/>
        </w:rPr>
        <w:t>r</w:t>
      </w:r>
      <w:r w:rsidR="00474C71" w:rsidRPr="00516C1F">
        <w:rPr>
          <w:rFonts w:cs="Calibri"/>
          <w:lang w:val="en-GB"/>
        </w:rPr>
        <w:t>egion</w:t>
      </w:r>
    </w:p>
    <w:tbl>
      <w:tblPr>
        <w:tblW w:w="0" w:type="auto"/>
        <w:tblLayout w:type="fixed"/>
        <w:tblLook w:val="04A0" w:firstRow="1" w:lastRow="0" w:firstColumn="1" w:lastColumn="0" w:noHBand="0" w:noVBand="1"/>
      </w:tblPr>
      <w:tblGrid>
        <w:gridCol w:w="562"/>
        <w:gridCol w:w="4395"/>
        <w:gridCol w:w="992"/>
        <w:gridCol w:w="1134"/>
        <w:gridCol w:w="1134"/>
        <w:gridCol w:w="1133"/>
      </w:tblGrid>
      <w:tr w:rsidR="00A925A3" w:rsidRPr="00516C1F" w14:paraId="2A2FC1C6" w14:textId="77777777" w:rsidTr="00682521">
        <w:trPr>
          <w:trHeight w:val="546"/>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61D69BD" w14:textId="77777777" w:rsidR="00A925A3" w:rsidRPr="00516C1F" w:rsidRDefault="00A925A3" w:rsidP="00A925A3">
            <w:pPr>
              <w:spacing w:after="0" w:line="240" w:lineRule="auto"/>
              <w:jc w:val="center"/>
              <w:rPr>
                <w:rFonts w:eastAsia="Times New Roman" w:cs="Calibri"/>
                <w:b/>
                <w:bCs/>
                <w:color w:val="000000"/>
                <w:kern w:val="0"/>
                <w:sz w:val="16"/>
                <w:szCs w:val="16"/>
                <w:lang w:val="en-GB"/>
                <w14:ligatures w14:val="none"/>
              </w:rPr>
            </w:pPr>
            <w:proofErr w:type="spellStart"/>
            <w:r w:rsidRPr="00516C1F">
              <w:rPr>
                <w:rFonts w:eastAsia="Times New Roman" w:cs="Calibri"/>
                <w:b/>
                <w:bCs/>
                <w:color w:val="000000"/>
                <w:kern w:val="0"/>
                <w:sz w:val="16"/>
                <w:szCs w:val="16"/>
                <w:lang w:val="en-GB"/>
                <w14:ligatures w14:val="none"/>
              </w:rPr>
              <w:t>r.n.</w:t>
            </w:r>
            <w:proofErr w:type="spellEnd"/>
          </w:p>
        </w:tc>
        <w:tc>
          <w:tcPr>
            <w:tcW w:w="4395" w:type="dxa"/>
            <w:tcBorders>
              <w:top w:val="single" w:sz="4" w:space="0" w:color="auto"/>
              <w:left w:val="nil"/>
              <w:bottom w:val="single" w:sz="4" w:space="0" w:color="auto"/>
              <w:right w:val="single" w:sz="4" w:space="0" w:color="auto"/>
            </w:tcBorders>
            <w:noWrap/>
            <w:vAlign w:val="center"/>
            <w:hideMark/>
          </w:tcPr>
          <w:p w14:paraId="316E39F9" w14:textId="77777777" w:rsidR="00A925A3" w:rsidRPr="00516C1F" w:rsidRDefault="00A925A3" w:rsidP="00A925A3">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Institution</w:t>
            </w:r>
          </w:p>
        </w:tc>
        <w:tc>
          <w:tcPr>
            <w:tcW w:w="992" w:type="dxa"/>
            <w:tcBorders>
              <w:top w:val="single" w:sz="4" w:space="0" w:color="auto"/>
              <w:left w:val="nil"/>
              <w:bottom w:val="single" w:sz="4" w:space="0" w:color="auto"/>
              <w:right w:val="single" w:sz="4" w:space="0" w:color="auto"/>
            </w:tcBorders>
            <w:vAlign w:val="center"/>
            <w:hideMark/>
          </w:tcPr>
          <w:p w14:paraId="6CB2D5C7" w14:textId="77777777" w:rsidR="00A925A3" w:rsidRPr="00516C1F" w:rsidRDefault="00A925A3" w:rsidP="00A925A3">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Number of projects</w:t>
            </w:r>
          </w:p>
        </w:tc>
        <w:tc>
          <w:tcPr>
            <w:tcW w:w="1134" w:type="dxa"/>
            <w:tcBorders>
              <w:top w:val="single" w:sz="4" w:space="0" w:color="auto"/>
              <w:left w:val="nil"/>
              <w:bottom w:val="single" w:sz="4" w:space="0" w:color="auto"/>
              <w:right w:val="single" w:sz="4" w:space="0" w:color="auto"/>
            </w:tcBorders>
            <w:vAlign w:val="center"/>
            <w:hideMark/>
          </w:tcPr>
          <w:p w14:paraId="23C028B5" w14:textId="77777777" w:rsidR="00A925A3" w:rsidRPr="00516C1F" w:rsidRDefault="00A925A3" w:rsidP="00A925A3">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Degree centralization</w:t>
            </w:r>
          </w:p>
        </w:tc>
        <w:tc>
          <w:tcPr>
            <w:tcW w:w="1134" w:type="dxa"/>
            <w:tcBorders>
              <w:top w:val="single" w:sz="4" w:space="0" w:color="auto"/>
              <w:left w:val="nil"/>
              <w:bottom w:val="single" w:sz="4" w:space="0" w:color="auto"/>
              <w:right w:val="single" w:sz="4" w:space="0" w:color="auto"/>
            </w:tcBorders>
            <w:vAlign w:val="center"/>
            <w:hideMark/>
          </w:tcPr>
          <w:p w14:paraId="1DE67382" w14:textId="77777777" w:rsidR="00A925A3" w:rsidRPr="00516C1F" w:rsidRDefault="00A925A3" w:rsidP="00A925A3">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Closeness centrality</w:t>
            </w:r>
          </w:p>
        </w:tc>
        <w:tc>
          <w:tcPr>
            <w:tcW w:w="1133" w:type="dxa"/>
            <w:tcBorders>
              <w:top w:val="single" w:sz="4" w:space="0" w:color="auto"/>
              <w:left w:val="nil"/>
              <w:bottom w:val="single" w:sz="4" w:space="0" w:color="auto"/>
              <w:right w:val="single" w:sz="4" w:space="0" w:color="auto"/>
            </w:tcBorders>
            <w:vAlign w:val="center"/>
            <w:hideMark/>
          </w:tcPr>
          <w:p w14:paraId="2CEA0E35" w14:textId="77777777" w:rsidR="00A925A3" w:rsidRPr="00516C1F" w:rsidRDefault="00A925A3" w:rsidP="00A925A3">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Betweenness centrality</w:t>
            </w:r>
          </w:p>
        </w:tc>
      </w:tr>
      <w:tr w:rsidR="00A925A3" w:rsidRPr="00516C1F" w14:paraId="6ABBB297"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05299D7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4395" w:type="dxa"/>
            <w:tcBorders>
              <w:top w:val="nil"/>
              <w:left w:val="nil"/>
              <w:bottom w:val="single" w:sz="4" w:space="0" w:color="auto"/>
              <w:right w:val="single" w:sz="4" w:space="0" w:color="auto"/>
            </w:tcBorders>
            <w:noWrap/>
            <w:vAlign w:val="bottom"/>
            <w:hideMark/>
          </w:tcPr>
          <w:p w14:paraId="288A1A6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Fraunhofer Society for the Promotion of Applied Research (Germany)</w:t>
            </w:r>
          </w:p>
        </w:tc>
        <w:tc>
          <w:tcPr>
            <w:tcW w:w="992"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246C5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92</w:t>
            </w:r>
          </w:p>
        </w:tc>
        <w:tc>
          <w:tcPr>
            <w:tcW w:w="113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5C130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81</w:t>
            </w:r>
          </w:p>
        </w:tc>
        <w:tc>
          <w:tcPr>
            <w:tcW w:w="113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453B95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0.711</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AF9C30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0.432</w:t>
            </w:r>
          </w:p>
        </w:tc>
      </w:tr>
      <w:tr w:rsidR="00A925A3" w:rsidRPr="00516C1F" w14:paraId="233D1990"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DBF3CE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4395" w:type="dxa"/>
            <w:tcBorders>
              <w:top w:val="nil"/>
              <w:left w:val="nil"/>
              <w:bottom w:val="single" w:sz="4" w:space="0" w:color="auto"/>
              <w:right w:val="single" w:sz="4" w:space="0" w:color="auto"/>
            </w:tcBorders>
            <w:noWrap/>
            <w:vAlign w:val="bottom"/>
            <w:hideMark/>
          </w:tcPr>
          <w:p w14:paraId="6C900890"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Technical University of Munich (Germany)</w:t>
            </w:r>
          </w:p>
        </w:tc>
        <w:tc>
          <w:tcPr>
            <w:tcW w:w="992" w:type="dxa"/>
            <w:tcBorders>
              <w:top w:val="single" w:sz="4" w:space="0" w:color="auto"/>
              <w:left w:val="single" w:sz="4" w:space="0" w:color="auto"/>
              <w:bottom w:val="single" w:sz="4" w:space="0" w:color="auto"/>
              <w:right w:val="single" w:sz="4" w:space="0" w:color="auto"/>
            </w:tcBorders>
            <w:shd w:val="clear" w:color="000000" w:fill="A9DBB7"/>
            <w:noWrap/>
            <w:vAlign w:val="bottom"/>
            <w:hideMark/>
          </w:tcPr>
          <w:p w14:paraId="6CA5615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52</w:t>
            </w:r>
          </w:p>
        </w:tc>
        <w:tc>
          <w:tcPr>
            <w:tcW w:w="1134" w:type="dxa"/>
            <w:tcBorders>
              <w:top w:val="single" w:sz="4" w:space="0" w:color="auto"/>
              <w:left w:val="single" w:sz="4" w:space="0" w:color="auto"/>
              <w:bottom w:val="single" w:sz="4" w:space="0" w:color="auto"/>
              <w:right w:val="single" w:sz="4" w:space="0" w:color="auto"/>
            </w:tcBorders>
            <w:shd w:val="clear" w:color="000000" w:fill="B7E0C4"/>
            <w:noWrap/>
            <w:vAlign w:val="bottom"/>
            <w:hideMark/>
          </w:tcPr>
          <w:p w14:paraId="1F93349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41</w:t>
            </w:r>
          </w:p>
        </w:tc>
        <w:tc>
          <w:tcPr>
            <w:tcW w:w="1134" w:type="dxa"/>
            <w:tcBorders>
              <w:top w:val="single" w:sz="4" w:space="0" w:color="auto"/>
              <w:left w:val="single" w:sz="4" w:space="0" w:color="auto"/>
              <w:bottom w:val="single" w:sz="4" w:space="0" w:color="auto"/>
              <w:right w:val="single" w:sz="4" w:space="0" w:color="auto"/>
            </w:tcBorders>
            <w:shd w:val="clear" w:color="000000" w:fill="B9E1C6"/>
            <w:noWrap/>
            <w:vAlign w:val="bottom"/>
            <w:hideMark/>
          </w:tcPr>
          <w:p w14:paraId="6D549E4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0.559</w:t>
            </w:r>
          </w:p>
        </w:tc>
        <w:tc>
          <w:tcPr>
            <w:tcW w:w="1133" w:type="dxa"/>
            <w:tcBorders>
              <w:top w:val="single" w:sz="4" w:space="0" w:color="auto"/>
              <w:left w:val="single" w:sz="4" w:space="0" w:color="auto"/>
              <w:bottom w:val="single" w:sz="4" w:space="0" w:color="auto"/>
              <w:right w:val="single" w:sz="4" w:space="0" w:color="auto"/>
            </w:tcBorders>
            <w:shd w:val="clear" w:color="000000" w:fill="E0F1E7"/>
            <w:noWrap/>
            <w:vAlign w:val="bottom"/>
            <w:hideMark/>
          </w:tcPr>
          <w:p w14:paraId="6248F07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0.083</w:t>
            </w:r>
          </w:p>
        </w:tc>
      </w:tr>
      <w:tr w:rsidR="00A925A3" w:rsidRPr="00516C1F" w14:paraId="655E9E2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A0A5C1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4395" w:type="dxa"/>
            <w:tcBorders>
              <w:top w:val="nil"/>
              <w:left w:val="nil"/>
              <w:bottom w:val="single" w:sz="4" w:space="0" w:color="auto"/>
              <w:right w:val="single" w:sz="4" w:space="0" w:color="auto"/>
            </w:tcBorders>
            <w:noWrap/>
            <w:vAlign w:val="bottom"/>
            <w:hideMark/>
          </w:tcPr>
          <w:p w14:paraId="7A7CA43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Max Planck Society for the Advancement of Science (Germany)</w:t>
            </w:r>
          </w:p>
        </w:tc>
        <w:tc>
          <w:tcPr>
            <w:tcW w:w="992" w:type="dxa"/>
            <w:tcBorders>
              <w:top w:val="single" w:sz="4" w:space="0" w:color="auto"/>
              <w:left w:val="single" w:sz="4" w:space="0" w:color="auto"/>
              <w:bottom w:val="single" w:sz="4" w:space="0" w:color="auto"/>
              <w:right w:val="single" w:sz="4" w:space="0" w:color="auto"/>
            </w:tcBorders>
            <w:shd w:val="clear" w:color="000000" w:fill="C7E7D1"/>
            <w:noWrap/>
            <w:vAlign w:val="bottom"/>
            <w:hideMark/>
          </w:tcPr>
          <w:p w14:paraId="1AB4D08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35</w:t>
            </w:r>
          </w:p>
        </w:tc>
        <w:tc>
          <w:tcPr>
            <w:tcW w:w="1134" w:type="dxa"/>
            <w:tcBorders>
              <w:top w:val="single" w:sz="4" w:space="0" w:color="auto"/>
              <w:left w:val="single" w:sz="4" w:space="0" w:color="auto"/>
              <w:bottom w:val="single" w:sz="4" w:space="0" w:color="auto"/>
              <w:right w:val="single" w:sz="4" w:space="0" w:color="auto"/>
            </w:tcBorders>
            <w:shd w:val="clear" w:color="000000" w:fill="DBEFE3"/>
            <w:noWrap/>
            <w:vAlign w:val="bottom"/>
            <w:hideMark/>
          </w:tcPr>
          <w:p w14:paraId="25B0E9A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24</w:t>
            </w:r>
          </w:p>
        </w:tc>
        <w:tc>
          <w:tcPr>
            <w:tcW w:w="1134" w:type="dxa"/>
            <w:tcBorders>
              <w:top w:val="single" w:sz="4" w:space="0" w:color="auto"/>
              <w:left w:val="single" w:sz="4" w:space="0" w:color="auto"/>
              <w:bottom w:val="single" w:sz="4" w:space="0" w:color="auto"/>
              <w:right w:val="single" w:sz="4" w:space="0" w:color="auto"/>
            </w:tcBorders>
            <w:shd w:val="clear" w:color="000000" w:fill="D0EBD9"/>
            <w:noWrap/>
            <w:vAlign w:val="bottom"/>
            <w:hideMark/>
          </w:tcPr>
          <w:p w14:paraId="0F010D0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0.518</w:t>
            </w:r>
          </w:p>
        </w:tc>
        <w:tc>
          <w:tcPr>
            <w:tcW w:w="1133"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365E93F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0.027</w:t>
            </w:r>
          </w:p>
        </w:tc>
      </w:tr>
      <w:tr w:rsidR="00A925A3" w:rsidRPr="00516C1F" w14:paraId="617770F3"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9E625F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4395" w:type="dxa"/>
            <w:tcBorders>
              <w:top w:val="nil"/>
              <w:left w:val="nil"/>
              <w:bottom w:val="single" w:sz="4" w:space="0" w:color="auto"/>
              <w:right w:val="single" w:sz="4" w:space="0" w:color="auto"/>
            </w:tcBorders>
            <w:noWrap/>
            <w:vAlign w:val="bottom"/>
            <w:hideMark/>
          </w:tcPr>
          <w:p w14:paraId="0D4A7E5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Karlsruhe Institute of Technology (Germany)</w:t>
            </w:r>
          </w:p>
        </w:tc>
        <w:tc>
          <w:tcPr>
            <w:tcW w:w="992" w:type="dxa"/>
            <w:tcBorders>
              <w:top w:val="single" w:sz="4" w:space="0" w:color="auto"/>
              <w:left w:val="single" w:sz="4" w:space="0" w:color="auto"/>
              <w:bottom w:val="single" w:sz="4" w:space="0" w:color="auto"/>
              <w:right w:val="single" w:sz="4" w:space="0" w:color="auto"/>
            </w:tcBorders>
            <w:shd w:val="clear" w:color="000000" w:fill="CFEAD9"/>
            <w:noWrap/>
            <w:vAlign w:val="bottom"/>
            <w:hideMark/>
          </w:tcPr>
          <w:p w14:paraId="7DDDD01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30</w:t>
            </w:r>
          </w:p>
        </w:tc>
        <w:tc>
          <w:tcPr>
            <w:tcW w:w="1134" w:type="dxa"/>
            <w:tcBorders>
              <w:top w:val="single" w:sz="4" w:space="0" w:color="auto"/>
              <w:left w:val="single" w:sz="4" w:space="0" w:color="auto"/>
              <w:bottom w:val="single" w:sz="4" w:space="0" w:color="auto"/>
              <w:right w:val="single" w:sz="4" w:space="0" w:color="auto"/>
            </w:tcBorders>
            <w:shd w:val="clear" w:color="000000" w:fill="C2E5CD"/>
            <w:noWrap/>
            <w:vAlign w:val="bottom"/>
            <w:hideMark/>
          </w:tcPr>
          <w:p w14:paraId="4185895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36</w:t>
            </w:r>
          </w:p>
        </w:tc>
        <w:tc>
          <w:tcPr>
            <w:tcW w:w="1134" w:type="dxa"/>
            <w:tcBorders>
              <w:top w:val="single" w:sz="4" w:space="0" w:color="auto"/>
              <w:left w:val="single" w:sz="4" w:space="0" w:color="auto"/>
              <w:bottom w:val="single" w:sz="4" w:space="0" w:color="auto"/>
              <w:right w:val="single" w:sz="4" w:space="0" w:color="auto"/>
            </w:tcBorders>
            <w:shd w:val="clear" w:color="000000" w:fill="BCE2C8"/>
            <w:noWrap/>
            <w:vAlign w:val="bottom"/>
            <w:hideMark/>
          </w:tcPr>
          <w:p w14:paraId="3AF3311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0.554</w:t>
            </w:r>
          </w:p>
        </w:tc>
        <w:tc>
          <w:tcPr>
            <w:tcW w:w="1133" w:type="dxa"/>
            <w:tcBorders>
              <w:top w:val="single" w:sz="4" w:space="0" w:color="auto"/>
              <w:left w:val="single" w:sz="4" w:space="0" w:color="auto"/>
              <w:bottom w:val="single" w:sz="4" w:space="0" w:color="auto"/>
              <w:right w:val="single" w:sz="4" w:space="0" w:color="auto"/>
            </w:tcBorders>
            <w:shd w:val="clear" w:color="000000" w:fill="E3F2EA"/>
            <w:noWrap/>
            <w:vAlign w:val="bottom"/>
            <w:hideMark/>
          </w:tcPr>
          <w:p w14:paraId="1EB0033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0.073</w:t>
            </w:r>
          </w:p>
        </w:tc>
      </w:tr>
      <w:tr w:rsidR="00A925A3" w:rsidRPr="00516C1F" w14:paraId="6B5B9160"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E3507A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4395" w:type="dxa"/>
            <w:tcBorders>
              <w:top w:val="nil"/>
              <w:left w:val="nil"/>
              <w:bottom w:val="single" w:sz="4" w:space="0" w:color="auto"/>
              <w:right w:val="single" w:sz="4" w:space="0" w:color="auto"/>
            </w:tcBorders>
            <w:noWrap/>
            <w:vAlign w:val="bottom"/>
            <w:hideMark/>
          </w:tcPr>
          <w:p w14:paraId="137432D2"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Ludwig Maximilian University of Munich (Germany)</w:t>
            </w:r>
          </w:p>
        </w:tc>
        <w:tc>
          <w:tcPr>
            <w:tcW w:w="992"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6BCE53E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26</w:t>
            </w:r>
          </w:p>
        </w:tc>
        <w:tc>
          <w:tcPr>
            <w:tcW w:w="1134"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6575351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16</w:t>
            </w:r>
          </w:p>
        </w:tc>
        <w:tc>
          <w:tcPr>
            <w:tcW w:w="1134" w:type="dxa"/>
            <w:tcBorders>
              <w:top w:val="single" w:sz="4" w:space="0" w:color="auto"/>
              <w:left w:val="single" w:sz="4" w:space="0" w:color="auto"/>
              <w:bottom w:val="single" w:sz="4" w:space="0" w:color="auto"/>
              <w:right w:val="single" w:sz="4" w:space="0" w:color="auto"/>
            </w:tcBorders>
            <w:shd w:val="clear" w:color="000000" w:fill="EAF5F0"/>
            <w:noWrap/>
            <w:vAlign w:val="bottom"/>
            <w:hideMark/>
          </w:tcPr>
          <w:p w14:paraId="5C83409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0.472</w:t>
            </w:r>
          </w:p>
        </w:tc>
        <w:tc>
          <w:tcPr>
            <w:tcW w:w="1133"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3251133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0.011</w:t>
            </w:r>
          </w:p>
        </w:tc>
      </w:tr>
      <w:tr w:rsidR="00A925A3" w:rsidRPr="00516C1F" w14:paraId="5C9BA609"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2E5130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4395" w:type="dxa"/>
            <w:tcBorders>
              <w:top w:val="nil"/>
              <w:left w:val="nil"/>
              <w:bottom w:val="single" w:sz="4" w:space="0" w:color="auto"/>
              <w:right w:val="single" w:sz="4" w:space="0" w:color="auto"/>
            </w:tcBorders>
            <w:noWrap/>
            <w:vAlign w:val="bottom"/>
            <w:hideMark/>
          </w:tcPr>
          <w:p w14:paraId="1916BC0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Jožef Stefan Institute (Slovenia)</w:t>
            </w:r>
          </w:p>
        </w:tc>
        <w:tc>
          <w:tcPr>
            <w:tcW w:w="992" w:type="dxa"/>
            <w:tcBorders>
              <w:top w:val="single" w:sz="4" w:space="0" w:color="auto"/>
              <w:left w:val="single" w:sz="4" w:space="0" w:color="auto"/>
              <w:bottom w:val="single" w:sz="4" w:space="0" w:color="auto"/>
              <w:right w:val="single" w:sz="4" w:space="0" w:color="auto"/>
            </w:tcBorders>
            <w:shd w:val="clear" w:color="000000" w:fill="D8EEE0"/>
            <w:noWrap/>
            <w:vAlign w:val="bottom"/>
            <w:hideMark/>
          </w:tcPr>
          <w:p w14:paraId="1838D20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25</w:t>
            </w:r>
          </w:p>
        </w:tc>
        <w:tc>
          <w:tcPr>
            <w:tcW w:w="1134" w:type="dxa"/>
            <w:tcBorders>
              <w:top w:val="single" w:sz="4" w:space="0" w:color="auto"/>
              <w:left w:val="single" w:sz="4" w:space="0" w:color="auto"/>
              <w:bottom w:val="single" w:sz="4" w:space="0" w:color="auto"/>
              <w:right w:val="single" w:sz="4" w:space="0" w:color="auto"/>
            </w:tcBorders>
            <w:shd w:val="clear" w:color="000000" w:fill="D3ECDB"/>
            <w:noWrap/>
            <w:vAlign w:val="bottom"/>
            <w:hideMark/>
          </w:tcPr>
          <w:p w14:paraId="56DF37A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28</w:t>
            </w:r>
          </w:p>
        </w:tc>
        <w:tc>
          <w:tcPr>
            <w:tcW w:w="1134" w:type="dxa"/>
            <w:tcBorders>
              <w:top w:val="single" w:sz="4" w:space="0" w:color="auto"/>
              <w:left w:val="single" w:sz="4" w:space="0" w:color="auto"/>
              <w:bottom w:val="single" w:sz="4" w:space="0" w:color="auto"/>
              <w:right w:val="single" w:sz="4" w:space="0" w:color="auto"/>
            </w:tcBorders>
            <w:shd w:val="clear" w:color="000000" w:fill="CFEAD8"/>
            <w:noWrap/>
            <w:vAlign w:val="bottom"/>
            <w:hideMark/>
          </w:tcPr>
          <w:p w14:paraId="4C67EAD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0.520</w:t>
            </w:r>
          </w:p>
        </w:tc>
        <w:tc>
          <w:tcPr>
            <w:tcW w:w="1133"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49A8679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0.032</w:t>
            </w:r>
          </w:p>
        </w:tc>
      </w:tr>
      <w:tr w:rsidR="00A925A3" w:rsidRPr="00516C1F" w14:paraId="44B5E89D"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A3D835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4395" w:type="dxa"/>
            <w:tcBorders>
              <w:top w:val="nil"/>
              <w:left w:val="nil"/>
              <w:bottom w:val="single" w:sz="4" w:space="0" w:color="auto"/>
              <w:right w:val="single" w:sz="4" w:space="0" w:color="auto"/>
            </w:tcBorders>
            <w:noWrap/>
            <w:vAlign w:val="bottom"/>
            <w:hideMark/>
          </w:tcPr>
          <w:p w14:paraId="04E51CF8"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Vienna University of Technology (Austria)</w:t>
            </w:r>
          </w:p>
        </w:tc>
        <w:tc>
          <w:tcPr>
            <w:tcW w:w="992" w:type="dxa"/>
            <w:tcBorders>
              <w:top w:val="single" w:sz="4" w:space="0" w:color="auto"/>
              <w:left w:val="single" w:sz="4" w:space="0" w:color="auto"/>
              <w:bottom w:val="single" w:sz="4" w:space="0" w:color="auto"/>
              <w:right w:val="single" w:sz="4" w:space="0" w:color="auto"/>
            </w:tcBorders>
            <w:shd w:val="clear" w:color="000000" w:fill="D8EEE0"/>
            <w:noWrap/>
            <w:vAlign w:val="bottom"/>
            <w:hideMark/>
          </w:tcPr>
          <w:p w14:paraId="6495009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25</w:t>
            </w:r>
          </w:p>
        </w:tc>
        <w:tc>
          <w:tcPr>
            <w:tcW w:w="1134" w:type="dxa"/>
            <w:tcBorders>
              <w:top w:val="single" w:sz="4" w:space="0" w:color="auto"/>
              <w:left w:val="single" w:sz="4" w:space="0" w:color="auto"/>
              <w:bottom w:val="single" w:sz="4" w:space="0" w:color="auto"/>
              <w:right w:val="single" w:sz="4" w:space="0" w:color="auto"/>
            </w:tcBorders>
            <w:shd w:val="clear" w:color="000000" w:fill="D3ECDB"/>
            <w:noWrap/>
            <w:vAlign w:val="bottom"/>
            <w:hideMark/>
          </w:tcPr>
          <w:p w14:paraId="4344073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28</w:t>
            </w:r>
          </w:p>
        </w:tc>
        <w:tc>
          <w:tcPr>
            <w:tcW w:w="1134" w:type="dxa"/>
            <w:tcBorders>
              <w:top w:val="single" w:sz="4" w:space="0" w:color="auto"/>
              <w:left w:val="single" w:sz="4" w:space="0" w:color="auto"/>
              <w:bottom w:val="single" w:sz="4" w:space="0" w:color="auto"/>
              <w:right w:val="single" w:sz="4" w:space="0" w:color="auto"/>
            </w:tcBorders>
            <w:shd w:val="clear" w:color="000000" w:fill="CEEAD7"/>
            <w:noWrap/>
            <w:vAlign w:val="bottom"/>
            <w:hideMark/>
          </w:tcPr>
          <w:p w14:paraId="23D637A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0.522</w:t>
            </w:r>
          </w:p>
        </w:tc>
        <w:tc>
          <w:tcPr>
            <w:tcW w:w="1133"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6C20E31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0.040</w:t>
            </w:r>
          </w:p>
        </w:tc>
      </w:tr>
      <w:tr w:rsidR="00A925A3" w:rsidRPr="00516C1F" w14:paraId="1250A9DC"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1A9AC7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4395" w:type="dxa"/>
            <w:tcBorders>
              <w:top w:val="nil"/>
              <w:left w:val="nil"/>
              <w:bottom w:val="single" w:sz="4" w:space="0" w:color="auto"/>
              <w:right w:val="single" w:sz="4" w:space="0" w:color="auto"/>
            </w:tcBorders>
            <w:noWrap/>
            <w:vAlign w:val="bottom"/>
            <w:hideMark/>
          </w:tcPr>
          <w:p w14:paraId="354A64D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AIT Austrian Institute of Technology GmbH (Austria)</w:t>
            </w:r>
          </w:p>
        </w:tc>
        <w:tc>
          <w:tcPr>
            <w:tcW w:w="992" w:type="dxa"/>
            <w:tcBorders>
              <w:top w:val="single" w:sz="4" w:space="0" w:color="auto"/>
              <w:left w:val="single" w:sz="4" w:space="0" w:color="auto"/>
              <w:bottom w:val="single" w:sz="4" w:space="0" w:color="auto"/>
              <w:right w:val="single" w:sz="4" w:space="0" w:color="auto"/>
            </w:tcBorders>
            <w:shd w:val="clear" w:color="000000" w:fill="E1F1E7"/>
            <w:noWrap/>
            <w:vAlign w:val="bottom"/>
            <w:hideMark/>
          </w:tcPr>
          <w:p w14:paraId="020B5F8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20</w:t>
            </w:r>
          </w:p>
        </w:tc>
        <w:tc>
          <w:tcPr>
            <w:tcW w:w="1134" w:type="dxa"/>
            <w:tcBorders>
              <w:top w:val="single" w:sz="4" w:space="0" w:color="auto"/>
              <w:left w:val="single" w:sz="4" w:space="0" w:color="auto"/>
              <w:bottom w:val="single" w:sz="4" w:space="0" w:color="auto"/>
              <w:right w:val="single" w:sz="4" w:space="0" w:color="auto"/>
            </w:tcBorders>
            <w:shd w:val="clear" w:color="000000" w:fill="D5ECDD"/>
            <w:noWrap/>
            <w:vAlign w:val="bottom"/>
            <w:hideMark/>
          </w:tcPr>
          <w:p w14:paraId="095B91B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27</w:t>
            </w:r>
          </w:p>
        </w:tc>
        <w:tc>
          <w:tcPr>
            <w:tcW w:w="1134" w:type="dxa"/>
            <w:tcBorders>
              <w:top w:val="single" w:sz="4" w:space="0" w:color="auto"/>
              <w:left w:val="single" w:sz="4" w:space="0" w:color="auto"/>
              <w:bottom w:val="single" w:sz="4" w:space="0" w:color="auto"/>
              <w:right w:val="single" w:sz="4" w:space="0" w:color="auto"/>
            </w:tcBorders>
            <w:shd w:val="clear" w:color="000000" w:fill="D3ECDB"/>
            <w:noWrap/>
            <w:vAlign w:val="bottom"/>
            <w:hideMark/>
          </w:tcPr>
          <w:p w14:paraId="18F1AF4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0.514</w:t>
            </w:r>
          </w:p>
        </w:tc>
        <w:tc>
          <w:tcPr>
            <w:tcW w:w="1133" w:type="dxa"/>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0ADE6EE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0.038</w:t>
            </w:r>
          </w:p>
        </w:tc>
      </w:tr>
      <w:tr w:rsidR="00A925A3" w:rsidRPr="00516C1F" w14:paraId="087F3651"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B911F4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4395" w:type="dxa"/>
            <w:tcBorders>
              <w:top w:val="nil"/>
              <w:left w:val="nil"/>
              <w:bottom w:val="single" w:sz="4" w:space="0" w:color="auto"/>
              <w:right w:val="single" w:sz="4" w:space="0" w:color="auto"/>
            </w:tcBorders>
            <w:noWrap/>
            <w:vAlign w:val="bottom"/>
            <w:hideMark/>
          </w:tcPr>
          <w:p w14:paraId="4969810E"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Ljubljana (Slovenia)</w:t>
            </w:r>
          </w:p>
        </w:tc>
        <w:tc>
          <w:tcPr>
            <w:tcW w:w="992" w:type="dxa"/>
            <w:tcBorders>
              <w:top w:val="single" w:sz="4" w:space="0" w:color="auto"/>
              <w:left w:val="single" w:sz="4" w:space="0" w:color="auto"/>
              <w:bottom w:val="single" w:sz="4" w:space="0" w:color="auto"/>
              <w:right w:val="single" w:sz="4" w:space="0" w:color="auto"/>
            </w:tcBorders>
            <w:shd w:val="clear" w:color="000000" w:fill="E2F2E9"/>
            <w:noWrap/>
            <w:vAlign w:val="bottom"/>
            <w:hideMark/>
          </w:tcPr>
          <w:p w14:paraId="6F88D64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19</w:t>
            </w:r>
          </w:p>
        </w:tc>
        <w:tc>
          <w:tcPr>
            <w:tcW w:w="1134" w:type="dxa"/>
            <w:tcBorders>
              <w:top w:val="single" w:sz="4" w:space="0" w:color="auto"/>
              <w:left w:val="single" w:sz="4" w:space="0" w:color="auto"/>
              <w:bottom w:val="single" w:sz="4" w:space="0" w:color="auto"/>
              <w:right w:val="single" w:sz="4" w:space="0" w:color="auto"/>
            </w:tcBorders>
            <w:shd w:val="clear" w:color="000000" w:fill="CCE9D6"/>
            <w:noWrap/>
            <w:vAlign w:val="bottom"/>
            <w:hideMark/>
          </w:tcPr>
          <w:p w14:paraId="6F91DDC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31</w:t>
            </w:r>
          </w:p>
        </w:tc>
        <w:tc>
          <w:tcPr>
            <w:tcW w:w="1134" w:type="dxa"/>
            <w:tcBorders>
              <w:top w:val="single" w:sz="4" w:space="0" w:color="auto"/>
              <w:left w:val="single" w:sz="4" w:space="0" w:color="auto"/>
              <w:bottom w:val="single" w:sz="4" w:space="0" w:color="auto"/>
              <w:right w:val="single" w:sz="4" w:space="0" w:color="auto"/>
            </w:tcBorders>
            <w:shd w:val="clear" w:color="000000" w:fill="C8E7D2"/>
            <w:noWrap/>
            <w:vAlign w:val="bottom"/>
            <w:hideMark/>
          </w:tcPr>
          <w:p w14:paraId="49F5EFB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0.533</w:t>
            </w:r>
          </w:p>
        </w:tc>
        <w:tc>
          <w:tcPr>
            <w:tcW w:w="1133" w:type="dxa"/>
            <w:tcBorders>
              <w:top w:val="single" w:sz="4" w:space="0" w:color="auto"/>
              <w:left w:val="single" w:sz="4" w:space="0" w:color="auto"/>
              <w:bottom w:val="single" w:sz="4" w:space="0" w:color="auto"/>
              <w:right w:val="single" w:sz="4" w:space="0" w:color="auto"/>
            </w:tcBorders>
            <w:shd w:val="clear" w:color="000000" w:fill="E4F3EA"/>
            <w:noWrap/>
            <w:vAlign w:val="bottom"/>
            <w:hideMark/>
          </w:tcPr>
          <w:p w14:paraId="7AFAF46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0.070</w:t>
            </w:r>
          </w:p>
        </w:tc>
      </w:tr>
      <w:tr w:rsidR="00A925A3" w:rsidRPr="00516C1F" w14:paraId="7FDF1696"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35370B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4395" w:type="dxa"/>
            <w:tcBorders>
              <w:top w:val="nil"/>
              <w:left w:val="nil"/>
              <w:bottom w:val="single" w:sz="4" w:space="0" w:color="auto"/>
              <w:right w:val="single" w:sz="4" w:space="0" w:color="auto"/>
            </w:tcBorders>
            <w:noWrap/>
            <w:vAlign w:val="bottom"/>
            <w:hideMark/>
          </w:tcPr>
          <w:p w14:paraId="03179AD6"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Vienna (Austria)</w:t>
            </w:r>
          </w:p>
        </w:tc>
        <w:tc>
          <w:tcPr>
            <w:tcW w:w="992" w:type="dxa"/>
            <w:tcBorders>
              <w:top w:val="single" w:sz="4" w:space="0" w:color="auto"/>
              <w:left w:val="single" w:sz="4" w:space="0" w:color="auto"/>
              <w:bottom w:val="single" w:sz="4" w:space="0" w:color="auto"/>
              <w:right w:val="single" w:sz="4" w:space="0" w:color="auto"/>
            </w:tcBorders>
            <w:shd w:val="clear" w:color="000000" w:fill="E6F3EC"/>
            <w:noWrap/>
            <w:vAlign w:val="bottom"/>
            <w:hideMark/>
          </w:tcPr>
          <w:p w14:paraId="3B9BB75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17</w:t>
            </w:r>
          </w:p>
        </w:tc>
        <w:tc>
          <w:tcPr>
            <w:tcW w:w="1134" w:type="dxa"/>
            <w:tcBorders>
              <w:top w:val="single" w:sz="4" w:space="0" w:color="auto"/>
              <w:left w:val="single" w:sz="4" w:space="0" w:color="auto"/>
              <w:bottom w:val="single" w:sz="4" w:space="0" w:color="auto"/>
              <w:right w:val="single" w:sz="4" w:space="0" w:color="auto"/>
            </w:tcBorders>
            <w:shd w:val="clear" w:color="000000" w:fill="E3F2EA"/>
            <w:noWrap/>
            <w:vAlign w:val="bottom"/>
            <w:hideMark/>
          </w:tcPr>
          <w:p w14:paraId="5FD670C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20</w:t>
            </w:r>
          </w:p>
        </w:tc>
        <w:tc>
          <w:tcPr>
            <w:tcW w:w="1134" w:type="dxa"/>
            <w:tcBorders>
              <w:top w:val="single" w:sz="4" w:space="0" w:color="auto"/>
              <w:left w:val="single" w:sz="4" w:space="0" w:color="auto"/>
              <w:bottom w:val="single" w:sz="4" w:space="0" w:color="auto"/>
              <w:right w:val="single" w:sz="4" w:space="0" w:color="auto"/>
            </w:tcBorders>
            <w:shd w:val="clear" w:color="000000" w:fill="DBEFE2"/>
            <w:noWrap/>
            <w:vAlign w:val="bottom"/>
            <w:hideMark/>
          </w:tcPr>
          <w:p w14:paraId="40B0AAA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0.500</w:t>
            </w:r>
          </w:p>
        </w:tc>
        <w:tc>
          <w:tcPr>
            <w:tcW w:w="1133" w:type="dxa"/>
            <w:tcBorders>
              <w:top w:val="single" w:sz="4" w:space="0" w:color="auto"/>
              <w:left w:val="single" w:sz="4" w:space="0" w:color="auto"/>
              <w:bottom w:val="single" w:sz="4" w:space="0" w:color="auto"/>
              <w:right w:val="single" w:sz="4" w:space="0" w:color="auto"/>
            </w:tcBorders>
            <w:shd w:val="clear" w:color="000000" w:fill="EDF6F3"/>
            <w:noWrap/>
            <w:vAlign w:val="bottom"/>
            <w:hideMark/>
          </w:tcPr>
          <w:p w14:paraId="548EA86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0.044</w:t>
            </w:r>
          </w:p>
        </w:tc>
      </w:tr>
      <w:tr w:rsidR="00A925A3" w:rsidRPr="00516C1F" w14:paraId="27C99D6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C7267E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4395" w:type="dxa"/>
            <w:tcBorders>
              <w:top w:val="nil"/>
              <w:left w:val="nil"/>
              <w:bottom w:val="single" w:sz="4" w:space="0" w:color="auto"/>
              <w:right w:val="single" w:sz="4" w:space="0" w:color="auto"/>
            </w:tcBorders>
            <w:noWrap/>
            <w:vAlign w:val="bottom"/>
            <w:hideMark/>
          </w:tcPr>
          <w:p w14:paraId="3C093361"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Friedrich-Alexander University Erlangen-Nuremberg (Germany)</w:t>
            </w:r>
          </w:p>
        </w:tc>
        <w:tc>
          <w:tcPr>
            <w:tcW w:w="992" w:type="dxa"/>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4804F2F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16</w:t>
            </w:r>
          </w:p>
        </w:tc>
        <w:tc>
          <w:tcPr>
            <w:tcW w:w="1134" w:type="dxa"/>
            <w:tcBorders>
              <w:top w:val="single" w:sz="4" w:space="0" w:color="auto"/>
              <w:left w:val="single" w:sz="4" w:space="0" w:color="auto"/>
              <w:bottom w:val="single" w:sz="4" w:space="0" w:color="auto"/>
              <w:right w:val="single" w:sz="4" w:space="0" w:color="auto"/>
            </w:tcBorders>
            <w:shd w:val="clear" w:color="000000" w:fill="E3F2EA"/>
            <w:noWrap/>
            <w:vAlign w:val="bottom"/>
            <w:hideMark/>
          </w:tcPr>
          <w:p w14:paraId="00EAE38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20</w:t>
            </w:r>
          </w:p>
        </w:tc>
        <w:tc>
          <w:tcPr>
            <w:tcW w:w="1134" w:type="dxa"/>
            <w:tcBorders>
              <w:top w:val="single" w:sz="4" w:space="0" w:color="auto"/>
              <w:left w:val="single" w:sz="4" w:space="0" w:color="auto"/>
              <w:bottom w:val="single" w:sz="4" w:space="0" w:color="auto"/>
              <w:right w:val="single" w:sz="4" w:space="0" w:color="auto"/>
            </w:tcBorders>
            <w:shd w:val="clear" w:color="000000" w:fill="D8EEE0"/>
            <w:noWrap/>
            <w:vAlign w:val="bottom"/>
            <w:hideMark/>
          </w:tcPr>
          <w:p w14:paraId="4E28539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0.504</w:t>
            </w:r>
          </w:p>
        </w:tc>
        <w:tc>
          <w:tcPr>
            <w:tcW w:w="1133"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7C1AB61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0.025</w:t>
            </w:r>
          </w:p>
        </w:tc>
      </w:tr>
      <w:tr w:rsidR="00A925A3" w:rsidRPr="00516C1F" w14:paraId="408D18F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CA83FA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w:t>
            </w:r>
          </w:p>
        </w:tc>
        <w:tc>
          <w:tcPr>
            <w:tcW w:w="4395" w:type="dxa"/>
            <w:tcBorders>
              <w:top w:val="nil"/>
              <w:left w:val="nil"/>
              <w:bottom w:val="single" w:sz="4" w:space="0" w:color="auto"/>
              <w:right w:val="single" w:sz="4" w:space="0" w:color="auto"/>
            </w:tcBorders>
            <w:noWrap/>
            <w:vAlign w:val="bottom"/>
            <w:hideMark/>
          </w:tcPr>
          <w:p w14:paraId="5D9F9FB8"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European Molecular Biology Laboratory (Germany)</w:t>
            </w:r>
          </w:p>
        </w:tc>
        <w:tc>
          <w:tcPr>
            <w:tcW w:w="992" w:type="dxa"/>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4FBF47F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16</w:t>
            </w:r>
          </w:p>
        </w:tc>
        <w:tc>
          <w:tcPr>
            <w:tcW w:w="1134" w:type="dxa"/>
            <w:tcBorders>
              <w:top w:val="single" w:sz="4" w:space="0" w:color="auto"/>
              <w:left w:val="single" w:sz="4" w:space="0" w:color="auto"/>
              <w:bottom w:val="single" w:sz="4" w:space="0" w:color="auto"/>
              <w:right w:val="single" w:sz="4" w:space="0" w:color="auto"/>
            </w:tcBorders>
            <w:shd w:val="clear" w:color="000000" w:fill="EAF5EF"/>
            <w:noWrap/>
            <w:vAlign w:val="bottom"/>
            <w:hideMark/>
          </w:tcPr>
          <w:p w14:paraId="7838745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17</w:t>
            </w:r>
          </w:p>
        </w:tc>
        <w:tc>
          <w:tcPr>
            <w:tcW w:w="1134" w:type="dxa"/>
            <w:tcBorders>
              <w:top w:val="single" w:sz="4" w:space="0" w:color="auto"/>
              <w:left w:val="single" w:sz="4" w:space="0" w:color="auto"/>
              <w:bottom w:val="single" w:sz="4" w:space="0" w:color="auto"/>
              <w:right w:val="single" w:sz="4" w:space="0" w:color="auto"/>
            </w:tcBorders>
            <w:shd w:val="clear" w:color="000000" w:fill="DEF0E5"/>
            <w:noWrap/>
            <w:vAlign w:val="bottom"/>
            <w:hideMark/>
          </w:tcPr>
          <w:p w14:paraId="28D434D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0.494</w:t>
            </w:r>
          </w:p>
        </w:tc>
        <w:tc>
          <w:tcPr>
            <w:tcW w:w="1133" w:type="dxa"/>
            <w:tcBorders>
              <w:top w:val="single" w:sz="4" w:space="0" w:color="auto"/>
              <w:left w:val="single" w:sz="4" w:space="0" w:color="auto"/>
              <w:bottom w:val="single" w:sz="4" w:space="0" w:color="auto"/>
              <w:right w:val="single" w:sz="4" w:space="0" w:color="auto"/>
            </w:tcBorders>
            <w:shd w:val="clear" w:color="000000" w:fill="F9FBFC"/>
            <w:noWrap/>
            <w:vAlign w:val="bottom"/>
            <w:hideMark/>
          </w:tcPr>
          <w:p w14:paraId="6FFC63C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0.013</w:t>
            </w:r>
          </w:p>
        </w:tc>
      </w:tr>
      <w:tr w:rsidR="00A925A3" w:rsidRPr="00516C1F" w14:paraId="28488AC0"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0004B59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4395" w:type="dxa"/>
            <w:tcBorders>
              <w:top w:val="nil"/>
              <w:left w:val="nil"/>
              <w:bottom w:val="single" w:sz="4" w:space="0" w:color="auto"/>
              <w:right w:val="single" w:sz="4" w:space="0" w:color="auto"/>
            </w:tcBorders>
            <w:noWrap/>
            <w:vAlign w:val="bottom"/>
            <w:hideMark/>
          </w:tcPr>
          <w:p w14:paraId="4FB76295"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Robert Bosch GmbH (Germany)</w:t>
            </w:r>
          </w:p>
        </w:tc>
        <w:tc>
          <w:tcPr>
            <w:tcW w:w="992"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494DCA3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C8E7D2"/>
            <w:noWrap/>
            <w:vAlign w:val="bottom"/>
            <w:hideMark/>
          </w:tcPr>
          <w:p w14:paraId="485390B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33</w:t>
            </w:r>
          </w:p>
        </w:tc>
        <w:tc>
          <w:tcPr>
            <w:tcW w:w="1134" w:type="dxa"/>
            <w:tcBorders>
              <w:top w:val="single" w:sz="4" w:space="0" w:color="auto"/>
              <w:left w:val="single" w:sz="4" w:space="0" w:color="auto"/>
              <w:bottom w:val="single" w:sz="4" w:space="0" w:color="auto"/>
              <w:right w:val="single" w:sz="4" w:space="0" w:color="auto"/>
            </w:tcBorders>
            <w:shd w:val="clear" w:color="000000" w:fill="C8E7D2"/>
            <w:noWrap/>
            <w:vAlign w:val="bottom"/>
            <w:hideMark/>
          </w:tcPr>
          <w:p w14:paraId="48E4D76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0.533</w:t>
            </w:r>
          </w:p>
        </w:tc>
        <w:tc>
          <w:tcPr>
            <w:tcW w:w="1133" w:type="dxa"/>
            <w:tcBorders>
              <w:top w:val="single" w:sz="4" w:space="0" w:color="auto"/>
              <w:left w:val="single" w:sz="4" w:space="0" w:color="auto"/>
              <w:bottom w:val="single" w:sz="4" w:space="0" w:color="auto"/>
              <w:right w:val="single" w:sz="4" w:space="0" w:color="auto"/>
            </w:tcBorders>
            <w:shd w:val="clear" w:color="000000" w:fill="F3F9F8"/>
            <w:noWrap/>
            <w:vAlign w:val="bottom"/>
            <w:hideMark/>
          </w:tcPr>
          <w:p w14:paraId="0E27CF4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0.027</w:t>
            </w:r>
          </w:p>
        </w:tc>
      </w:tr>
      <w:tr w:rsidR="00A925A3" w:rsidRPr="00516C1F" w14:paraId="06172A1A"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01FFB00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4395" w:type="dxa"/>
            <w:tcBorders>
              <w:top w:val="nil"/>
              <w:left w:val="nil"/>
              <w:bottom w:val="single" w:sz="4" w:space="0" w:color="auto"/>
              <w:right w:val="single" w:sz="4" w:space="0" w:color="auto"/>
            </w:tcBorders>
            <w:noWrap/>
            <w:vAlign w:val="bottom"/>
            <w:hideMark/>
          </w:tcPr>
          <w:p w14:paraId="4911EDC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Graz University of Technology (Austria)</w:t>
            </w:r>
          </w:p>
        </w:tc>
        <w:tc>
          <w:tcPr>
            <w:tcW w:w="992"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4FDC3D0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D9EEE1"/>
            <w:noWrap/>
            <w:vAlign w:val="bottom"/>
            <w:hideMark/>
          </w:tcPr>
          <w:p w14:paraId="4F1DC31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25</w:t>
            </w:r>
          </w:p>
        </w:tc>
        <w:tc>
          <w:tcPr>
            <w:tcW w:w="1134" w:type="dxa"/>
            <w:tcBorders>
              <w:top w:val="single" w:sz="4" w:space="0" w:color="auto"/>
              <w:left w:val="single" w:sz="4" w:space="0" w:color="auto"/>
              <w:bottom w:val="single" w:sz="4" w:space="0" w:color="auto"/>
              <w:right w:val="single" w:sz="4" w:space="0" w:color="auto"/>
            </w:tcBorders>
            <w:shd w:val="clear" w:color="000000" w:fill="D4ECDC"/>
            <w:noWrap/>
            <w:vAlign w:val="bottom"/>
            <w:hideMark/>
          </w:tcPr>
          <w:p w14:paraId="43D2B7E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0.512</w:t>
            </w:r>
          </w:p>
        </w:tc>
        <w:tc>
          <w:tcPr>
            <w:tcW w:w="1133"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05E6E62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0.016</w:t>
            </w:r>
          </w:p>
        </w:tc>
      </w:tr>
      <w:tr w:rsidR="00A925A3" w:rsidRPr="00516C1F" w14:paraId="031E8391"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1B6DE1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4395" w:type="dxa"/>
            <w:tcBorders>
              <w:top w:val="nil"/>
              <w:left w:val="nil"/>
              <w:bottom w:val="single" w:sz="4" w:space="0" w:color="auto"/>
              <w:right w:val="single" w:sz="4" w:space="0" w:color="auto"/>
            </w:tcBorders>
            <w:noWrap/>
            <w:vAlign w:val="bottom"/>
            <w:hideMark/>
          </w:tcPr>
          <w:p w14:paraId="1F721BF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Masaryk University (Czech Republic)</w:t>
            </w:r>
          </w:p>
        </w:tc>
        <w:tc>
          <w:tcPr>
            <w:tcW w:w="992" w:type="dxa"/>
            <w:tcBorders>
              <w:top w:val="single" w:sz="4" w:space="0" w:color="auto"/>
              <w:left w:val="single" w:sz="4" w:space="0" w:color="auto"/>
              <w:bottom w:val="single" w:sz="4" w:space="0" w:color="auto"/>
              <w:right w:val="single" w:sz="4" w:space="0" w:color="auto"/>
            </w:tcBorders>
            <w:shd w:val="clear" w:color="000000" w:fill="EBF5F1"/>
            <w:noWrap/>
            <w:vAlign w:val="bottom"/>
            <w:hideMark/>
          </w:tcPr>
          <w:p w14:paraId="77A80B9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1134"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04D10AB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16</w:t>
            </w:r>
          </w:p>
        </w:tc>
        <w:tc>
          <w:tcPr>
            <w:tcW w:w="1134" w:type="dxa"/>
            <w:tcBorders>
              <w:top w:val="single" w:sz="4" w:space="0" w:color="auto"/>
              <w:left w:val="single" w:sz="4" w:space="0" w:color="auto"/>
              <w:bottom w:val="single" w:sz="4" w:space="0" w:color="auto"/>
              <w:right w:val="single" w:sz="4" w:space="0" w:color="auto"/>
            </w:tcBorders>
            <w:shd w:val="clear" w:color="000000" w:fill="E5F3EB"/>
            <w:noWrap/>
            <w:vAlign w:val="bottom"/>
            <w:hideMark/>
          </w:tcPr>
          <w:p w14:paraId="6295530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0.481</w:t>
            </w:r>
          </w:p>
        </w:tc>
        <w:tc>
          <w:tcPr>
            <w:tcW w:w="1133"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159EAB4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0.011</w:t>
            </w:r>
          </w:p>
        </w:tc>
      </w:tr>
      <w:tr w:rsidR="00A925A3" w:rsidRPr="00516C1F" w14:paraId="1F50FFEE"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4A9F5F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16</w:t>
            </w:r>
          </w:p>
        </w:tc>
        <w:tc>
          <w:tcPr>
            <w:tcW w:w="4395" w:type="dxa"/>
            <w:tcBorders>
              <w:top w:val="nil"/>
              <w:left w:val="nil"/>
              <w:bottom w:val="single" w:sz="4" w:space="0" w:color="auto"/>
              <w:right w:val="single" w:sz="4" w:space="0" w:color="auto"/>
            </w:tcBorders>
            <w:noWrap/>
            <w:vAlign w:val="bottom"/>
            <w:hideMark/>
          </w:tcPr>
          <w:p w14:paraId="474CF518"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Czech Technical University in Prague (Czech Republic)</w:t>
            </w:r>
          </w:p>
        </w:tc>
        <w:tc>
          <w:tcPr>
            <w:tcW w:w="992"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6E6382B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1134"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7A99AC7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747B691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0.462</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D7A7E6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25A3" w:rsidRPr="00516C1F" w14:paraId="14805FDB"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0177094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17</w:t>
            </w:r>
          </w:p>
        </w:tc>
        <w:tc>
          <w:tcPr>
            <w:tcW w:w="4395" w:type="dxa"/>
            <w:tcBorders>
              <w:top w:val="nil"/>
              <w:left w:val="nil"/>
              <w:bottom w:val="single" w:sz="4" w:space="0" w:color="auto"/>
              <w:right w:val="single" w:sz="4" w:space="0" w:color="auto"/>
            </w:tcBorders>
            <w:noWrap/>
            <w:vAlign w:val="bottom"/>
            <w:hideMark/>
          </w:tcPr>
          <w:p w14:paraId="4EAADA81"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 Brno University of Technology (Czech Republic)</w:t>
            </w:r>
          </w:p>
        </w:tc>
        <w:tc>
          <w:tcPr>
            <w:tcW w:w="992"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0B8D632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1134" w:type="dxa"/>
            <w:tcBorders>
              <w:top w:val="single" w:sz="4" w:space="0" w:color="auto"/>
              <w:left w:val="single" w:sz="4" w:space="0" w:color="auto"/>
              <w:bottom w:val="single" w:sz="4" w:space="0" w:color="auto"/>
              <w:right w:val="single" w:sz="4" w:space="0" w:color="auto"/>
            </w:tcBorders>
            <w:shd w:val="clear" w:color="000000" w:fill="D5ECDD"/>
            <w:noWrap/>
            <w:vAlign w:val="bottom"/>
            <w:hideMark/>
          </w:tcPr>
          <w:p w14:paraId="4A22924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27</w:t>
            </w:r>
          </w:p>
        </w:tc>
        <w:tc>
          <w:tcPr>
            <w:tcW w:w="1134" w:type="dxa"/>
            <w:tcBorders>
              <w:top w:val="single" w:sz="4" w:space="0" w:color="auto"/>
              <w:left w:val="single" w:sz="4" w:space="0" w:color="auto"/>
              <w:bottom w:val="single" w:sz="4" w:space="0" w:color="auto"/>
              <w:right w:val="single" w:sz="4" w:space="0" w:color="auto"/>
            </w:tcBorders>
            <w:shd w:val="clear" w:color="000000" w:fill="D7EDDF"/>
            <w:noWrap/>
            <w:vAlign w:val="bottom"/>
            <w:hideMark/>
          </w:tcPr>
          <w:p w14:paraId="2B51D0C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0.506</w:t>
            </w:r>
          </w:p>
        </w:tc>
        <w:tc>
          <w:tcPr>
            <w:tcW w:w="1133" w:type="dxa"/>
            <w:tcBorders>
              <w:top w:val="single" w:sz="4" w:space="0" w:color="auto"/>
              <w:left w:val="single" w:sz="4" w:space="0" w:color="auto"/>
              <w:bottom w:val="single" w:sz="4" w:space="0" w:color="auto"/>
              <w:right w:val="single" w:sz="4" w:space="0" w:color="auto"/>
            </w:tcBorders>
            <w:shd w:val="clear" w:color="000000" w:fill="F8FBFB"/>
            <w:noWrap/>
            <w:vAlign w:val="bottom"/>
            <w:hideMark/>
          </w:tcPr>
          <w:p w14:paraId="7CC45F1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0.015</w:t>
            </w:r>
          </w:p>
        </w:tc>
      </w:tr>
      <w:tr w:rsidR="00A925A3" w:rsidRPr="00516C1F" w14:paraId="2CD4E722"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BEA031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18</w:t>
            </w:r>
          </w:p>
        </w:tc>
        <w:tc>
          <w:tcPr>
            <w:tcW w:w="4395" w:type="dxa"/>
            <w:tcBorders>
              <w:top w:val="nil"/>
              <w:left w:val="nil"/>
              <w:bottom w:val="single" w:sz="4" w:space="0" w:color="auto"/>
              <w:right w:val="single" w:sz="4" w:space="0" w:color="auto"/>
            </w:tcBorders>
            <w:noWrap/>
            <w:vAlign w:val="bottom"/>
            <w:hideMark/>
          </w:tcPr>
          <w:p w14:paraId="7B855B7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Virtual Vehicle Research GmbH (Austria)</w:t>
            </w:r>
          </w:p>
        </w:tc>
        <w:tc>
          <w:tcPr>
            <w:tcW w:w="992"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4613342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w:t>
            </w:r>
          </w:p>
        </w:tc>
        <w:tc>
          <w:tcPr>
            <w:tcW w:w="1134" w:type="dxa"/>
            <w:tcBorders>
              <w:top w:val="single" w:sz="4" w:space="0" w:color="auto"/>
              <w:left w:val="single" w:sz="4" w:space="0" w:color="auto"/>
              <w:bottom w:val="single" w:sz="4" w:space="0" w:color="auto"/>
              <w:right w:val="single" w:sz="4" w:space="0" w:color="auto"/>
            </w:tcBorders>
            <w:shd w:val="clear" w:color="000000" w:fill="DBEFE3"/>
            <w:noWrap/>
            <w:vAlign w:val="bottom"/>
            <w:hideMark/>
          </w:tcPr>
          <w:p w14:paraId="69C4BE7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24</w:t>
            </w:r>
          </w:p>
        </w:tc>
        <w:tc>
          <w:tcPr>
            <w:tcW w:w="113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3BCBD69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0.508</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5F32B6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0.004</w:t>
            </w:r>
          </w:p>
        </w:tc>
      </w:tr>
      <w:tr w:rsidR="00A925A3" w:rsidRPr="00516C1F" w14:paraId="156A25B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EB3DF9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19</w:t>
            </w:r>
          </w:p>
        </w:tc>
        <w:tc>
          <w:tcPr>
            <w:tcW w:w="4395" w:type="dxa"/>
            <w:tcBorders>
              <w:top w:val="nil"/>
              <w:left w:val="nil"/>
              <w:bottom w:val="single" w:sz="4" w:space="0" w:color="auto"/>
              <w:right w:val="single" w:sz="4" w:space="0" w:color="auto"/>
            </w:tcBorders>
            <w:noWrap/>
            <w:vAlign w:val="bottom"/>
            <w:hideMark/>
          </w:tcPr>
          <w:p w14:paraId="55956E55"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AVL List GmbH (Austria)</w:t>
            </w:r>
          </w:p>
        </w:tc>
        <w:tc>
          <w:tcPr>
            <w:tcW w:w="992"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60B6A1F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w:t>
            </w:r>
          </w:p>
        </w:tc>
        <w:tc>
          <w:tcPr>
            <w:tcW w:w="1134" w:type="dxa"/>
            <w:tcBorders>
              <w:top w:val="single" w:sz="4" w:space="0" w:color="auto"/>
              <w:left w:val="single" w:sz="4" w:space="0" w:color="auto"/>
              <w:bottom w:val="single" w:sz="4" w:space="0" w:color="auto"/>
              <w:right w:val="single" w:sz="4" w:space="0" w:color="auto"/>
            </w:tcBorders>
            <w:shd w:val="clear" w:color="000000" w:fill="D7EDDF"/>
            <w:noWrap/>
            <w:vAlign w:val="bottom"/>
            <w:hideMark/>
          </w:tcPr>
          <w:p w14:paraId="59719BC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26</w:t>
            </w:r>
          </w:p>
        </w:tc>
        <w:tc>
          <w:tcPr>
            <w:tcW w:w="1134" w:type="dxa"/>
            <w:tcBorders>
              <w:top w:val="single" w:sz="4" w:space="0" w:color="auto"/>
              <w:left w:val="single" w:sz="4" w:space="0" w:color="auto"/>
              <w:bottom w:val="single" w:sz="4" w:space="0" w:color="auto"/>
              <w:right w:val="single" w:sz="4" w:space="0" w:color="auto"/>
            </w:tcBorders>
            <w:shd w:val="clear" w:color="000000" w:fill="D1EBDA"/>
            <w:noWrap/>
            <w:vAlign w:val="bottom"/>
            <w:hideMark/>
          </w:tcPr>
          <w:p w14:paraId="76725A4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0.516</w:t>
            </w:r>
          </w:p>
        </w:tc>
        <w:tc>
          <w:tcPr>
            <w:tcW w:w="1133"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1BFEB4C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0.007</w:t>
            </w:r>
          </w:p>
        </w:tc>
      </w:tr>
      <w:tr w:rsidR="00A925A3" w:rsidRPr="00516C1F" w14:paraId="4B409F0D"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43594C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20</w:t>
            </w:r>
          </w:p>
        </w:tc>
        <w:tc>
          <w:tcPr>
            <w:tcW w:w="4395" w:type="dxa"/>
            <w:tcBorders>
              <w:top w:val="nil"/>
              <w:left w:val="nil"/>
              <w:bottom w:val="single" w:sz="4" w:space="0" w:color="auto"/>
              <w:right w:val="single" w:sz="4" w:space="0" w:color="auto"/>
            </w:tcBorders>
            <w:noWrap/>
            <w:vAlign w:val="bottom"/>
            <w:hideMark/>
          </w:tcPr>
          <w:p w14:paraId="36997215"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Siemens AG (Germany)</w:t>
            </w:r>
          </w:p>
        </w:tc>
        <w:tc>
          <w:tcPr>
            <w:tcW w:w="992"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37BA56A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w:t>
            </w:r>
          </w:p>
        </w:tc>
        <w:tc>
          <w:tcPr>
            <w:tcW w:w="1134"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029B72B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1134" w:type="dxa"/>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208D218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0.476</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14C680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0.004</w:t>
            </w:r>
          </w:p>
        </w:tc>
      </w:tr>
      <w:tr w:rsidR="00A925A3" w:rsidRPr="00516C1F" w14:paraId="58A75E7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092297E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21</w:t>
            </w:r>
          </w:p>
        </w:tc>
        <w:tc>
          <w:tcPr>
            <w:tcW w:w="4395" w:type="dxa"/>
            <w:tcBorders>
              <w:top w:val="nil"/>
              <w:left w:val="nil"/>
              <w:bottom w:val="single" w:sz="4" w:space="0" w:color="auto"/>
              <w:right w:val="single" w:sz="4" w:space="0" w:color="auto"/>
            </w:tcBorders>
            <w:noWrap/>
            <w:vAlign w:val="bottom"/>
            <w:hideMark/>
          </w:tcPr>
          <w:p w14:paraId="0F296AA2"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Infineon Technologies AG – (Germany)</w:t>
            </w:r>
          </w:p>
        </w:tc>
        <w:tc>
          <w:tcPr>
            <w:tcW w:w="992" w:type="dxa"/>
            <w:tcBorders>
              <w:top w:val="single" w:sz="4" w:space="0" w:color="auto"/>
              <w:left w:val="single" w:sz="4" w:space="0" w:color="auto"/>
              <w:bottom w:val="single" w:sz="4" w:space="0" w:color="auto"/>
              <w:right w:val="single" w:sz="4" w:space="0" w:color="auto"/>
            </w:tcBorders>
            <w:shd w:val="clear" w:color="000000" w:fill="F0F8F5"/>
            <w:noWrap/>
            <w:vAlign w:val="bottom"/>
            <w:hideMark/>
          </w:tcPr>
          <w:p w14:paraId="42EC7EC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D0EBDA"/>
            <w:noWrap/>
            <w:vAlign w:val="bottom"/>
            <w:hideMark/>
          </w:tcPr>
          <w:p w14:paraId="05C94FE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29</w:t>
            </w:r>
          </w:p>
        </w:tc>
        <w:tc>
          <w:tcPr>
            <w:tcW w:w="1134" w:type="dxa"/>
            <w:tcBorders>
              <w:top w:val="single" w:sz="4" w:space="0" w:color="auto"/>
              <w:left w:val="single" w:sz="4" w:space="0" w:color="auto"/>
              <w:bottom w:val="single" w:sz="4" w:space="0" w:color="auto"/>
              <w:right w:val="single" w:sz="4" w:space="0" w:color="auto"/>
            </w:tcBorders>
            <w:shd w:val="clear" w:color="000000" w:fill="D1EBDA"/>
            <w:noWrap/>
            <w:vAlign w:val="bottom"/>
            <w:hideMark/>
          </w:tcPr>
          <w:p w14:paraId="170BD53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0.516</w:t>
            </w:r>
          </w:p>
        </w:tc>
        <w:tc>
          <w:tcPr>
            <w:tcW w:w="1133" w:type="dxa"/>
            <w:tcBorders>
              <w:top w:val="single" w:sz="4" w:space="0" w:color="auto"/>
              <w:left w:val="single" w:sz="4" w:space="0" w:color="auto"/>
              <w:bottom w:val="single" w:sz="4" w:space="0" w:color="auto"/>
              <w:right w:val="single" w:sz="4" w:space="0" w:color="auto"/>
            </w:tcBorders>
            <w:shd w:val="clear" w:color="000000" w:fill="F9FBFC"/>
            <w:noWrap/>
            <w:vAlign w:val="bottom"/>
            <w:hideMark/>
          </w:tcPr>
          <w:p w14:paraId="3BFF9FE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0.012</w:t>
            </w:r>
          </w:p>
        </w:tc>
      </w:tr>
      <w:tr w:rsidR="00A925A3" w:rsidRPr="00516C1F" w14:paraId="541582F6"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7DF5EA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22</w:t>
            </w:r>
          </w:p>
        </w:tc>
        <w:tc>
          <w:tcPr>
            <w:tcW w:w="4395" w:type="dxa"/>
            <w:tcBorders>
              <w:top w:val="nil"/>
              <w:left w:val="nil"/>
              <w:bottom w:val="single" w:sz="4" w:space="0" w:color="auto"/>
              <w:right w:val="single" w:sz="4" w:space="0" w:color="auto"/>
            </w:tcBorders>
            <w:noWrap/>
            <w:vAlign w:val="bottom"/>
            <w:hideMark/>
          </w:tcPr>
          <w:p w14:paraId="3F40318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Tübingen (Germany)</w:t>
            </w:r>
          </w:p>
        </w:tc>
        <w:tc>
          <w:tcPr>
            <w:tcW w:w="992" w:type="dxa"/>
            <w:tcBorders>
              <w:top w:val="single" w:sz="4" w:space="0" w:color="auto"/>
              <w:left w:val="single" w:sz="4" w:space="0" w:color="auto"/>
              <w:bottom w:val="single" w:sz="4" w:space="0" w:color="auto"/>
              <w:right w:val="single" w:sz="4" w:space="0" w:color="auto"/>
            </w:tcBorders>
            <w:shd w:val="clear" w:color="000000" w:fill="F0F8F5"/>
            <w:noWrap/>
            <w:vAlign w:val="bottom"/>
            <w:hideMark/>
          </w:tcPr>
          <w:p w14:paraId="1CB996C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EEF7F3"/>
            <w:noWrap/>
            <w:vAlign w:val="bottom"/>
            <w:hideMark/>
          </w:tcPr>
          <w:p w14:paraId="16D9749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2F5A456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0.437</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35247E7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0.007</w:t>
            </w:r>
          </w:p>
        </w:tc>
      </w:tr>
      <w:tr w:rsidR="00A925A3" w:rsidRPr="00516C1F" w14:paraId="1D4D6AE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84DF36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23</w:t>
            </w:r>
          </w:p>
        </w:tc>
        <w:tc>
          <w:tcPr>
            <w:tcW w:w="4395" w:type="dxa"/>
            <w:tcBorders>
              <w:top w:val="nil"/>
              <w:left w:val="nil"/>
              <w:bottom w:val="single" w:sz="4" w:space="0" w:color="auto"/>
              <w:right w:val="single" w:sz="4" w:space="0" w:color="auto"/>
            </w:tcBorders>
            <w:noWrap/>
            <w:vAlign w:val="bottom"/>
            <w:hideMark/>
          </w:tcPr>
          <w:p w14:paraId="417EAC2D"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Heidelberg University (Germany)</w:t>
            </w:r>
          </w:p>
        </w:tc>
        <w:tc>
          <w:tcPr>
            <w:tcW w:w="992" w:type="dxa"/>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33A00F5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E5F3EC"/>
            <w:noWrap/>
            <w:vAlign w:val="bottom"/>
            <w:hideMark/>
          </w:tcPr>
          <w:p w14:paraId="1E786F8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19</w:t>
            </w:r>
          </w:p>
        </w:tc>
        <w:tc>
          <w:tcPr>
            <w:tcW w:w="1134" w:type="dxa"/>
            <w:tcBorders>
              <w:top w:val="single" w:sz="4" w:space="0" w:color="auto"/>
              <w:left w:val="single" w:sz="4" w:space="0" w:color="auto"/>
              <w:bottom w:val="single" w:sz="4" w:space="0" w:color="auto"/>
              <w:right w:val="single" w:sz="4" w:space="0" w:color="auto"/>
            </w:tcBorders>
            <w:shd w:val="clear" w:color="000000" w:fill="E6F3EC"/>
            <w:noWrap/>
            <w:vAlign w:val="bottom"/>
            <w:hideMark/>
          </w:tcPr>
          <w:p w14:paraId="0D5AF3A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0.479</w:t>
            </w:r>
          </w:p>
        </w:tc>
        <w:tc>
          <w:tcPr>
            <w:tcW w:w="1133" w:type="dxa"/>
            <w:tcBorders>
              <w:top w:val="single" w:sz="4" w:space="0" w:color="auto"/>
              <w:left w:val="single" w:sz="4" w:space="0" w:color="auto"/>
              <w:bottom w:val="single" w:sz="4" w:space="0" w:color="auto"/>
              <w:right w:val="single" w:sz="4" w:space="0" w:color="auto"/>
            </w:tcBorders>
            <w:shd w:val="clear" w:color="000000" w:fill="F9FBFC"/>
            <w:noWrap/>
            <w:vAlign w:val="bottom"/>
            <w:hideMark/>
          </w:tcPr>
          <w:p w14:paraId="7542C35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0.013</w:t>
            </w:r>
          </w:p>
        </w:tc>
      </w:tr>
      <w:tr w:rsidR="00A925A3" w:rsidRPr="00516C1F" w14:paraId="6121E8F9"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E0AE8A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24</w:t>
            </w:r>
          </w:p>
        </w:tc>
        <w:tc>
          <w:tcPr>
            <w:tcW w:w="4395" w:type="dxa"/>
            <w:tcBorders>
              <w:top w:val="nil"/>
              <w:left w:val="nil"/>
              <w:bottom w:val="single" w:sz="4" w:space="0" w:color="auto"/>
              <w:right w:val="single" w:sz="4" w:space="0" w:color="auto"/>
            </w:tcBorders>
            <w:noWrap/>
            <w:vAlign w:val="bottom"/>
            <w:hideMark/>
          </w:tcPr>
          <w:p w14:paraId="438CF6A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Charles University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11DE912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FBE7E9"/>
            <w:noWrap/>
            <w:vAlign w:val="bottom"/>
            <w:hideMark/>
          </w:tcPr>
          <w:p w14:paraId="22723E2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BE6E9"/>
            <w:noWrap/>
            <w:vAlign w:val="bottom"/>
            <w:hideMark/>
          </w:tcPr>
          <w:p w14:paraId="13C773F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0.404</w:t>
            </w:r>
          </w:p>
        </w:tc>
        <w:tc>
          <w:tcPr>
            <w:tcW w:w="1133" w:type="dxa"/>
            <w:tcBorders>
              <w:top w:val="single" w:sz="4" w:space="0" w:color="auto"/>
              <w:left w:val="single" w:sz="4" w:space="0" w:color="auto"/>
              <w:bottom w:val="single" w:sz="4" w:space="0" w:color="auto"/>
              <w:right w:val="single" w:sz="4" w:space="0" w:color="auto"/>
            </w:tcBorders>
            <w:shd w:val="clear" w:color="000000" w:fill="FACFD2"/>
            <w:noWrap/>
            <w:vAlign w:val="bottom"/>
            <w:hideMark/>
          </w:tcPr>
          <w:p w14:paraId="65B80EF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10BBB15A"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CF385D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25</w:t>
            </w:r>
          </w:p>
        </w:tc>
        <w:tc>
          <w:tcPr>
            <w:tcW w:w="4395" w:type="dxa"/>
            <w:tcBorders>
              <w:top w:val="nil"/>
              <w:left w:val="nil"/>
              <w:bottom w:val="single" w:sz="4" w:space="0" w:color="auto"/>
              <w:right w:val="single" w:sz="4" w:space="0" w:color="auto"/>
            </w:tcBorders>
            <w:noWrap/>
            <w:vAlign w:val="bottom"/>
            <w:hideMark/>
          </w:tcPr>
          <w:p w14:paraId="5562DD8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Freiburg (Germany)</w:t>
            </w:r>
          </w:p>
        </w:tc>
        <w:tc>
          <w:tcPr>
            <w:tcW w:w="992"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4CD95C1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49AE7BE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1134" w:type="dxa"/>
            <w:tcBorders>
              <w:top w:val="single" w:sz="4" w:space="0" w:color="auto"/>
              <w:left w:val="single" w:sz="4" w:space="0" w:color="auto"/>
              <w:bottom w:val="single" w:sz="4" w:space="0" w:color="auto"/>
              <w:right w:val="single" w:sz="4" w:space="0" w:color="auto"/>
            </w:tcBorders>
            <w:shd w:val="clear" w:color="000000" w:fill="E2F2E9"/>
            <w:noWrap/>
            <w:vAlign w:val="bottom"/>
            <w:hideMark/>
          </w:tcPr>
          <w:p w14:paraId="45D32FF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0.487</w:t>
            </w:r>
          </w:p>
        </w:tc>
        <w:tc>
          <w:tcPr>
            <w:tcW w:w="1133"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51E31C2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0.008</w:t>
            </w:r>
          </w:p>
        </w:tc>
      </w:tr>
      <w:tr w:rsidR="00A925A3" w:rsidRPr="00516C1F" w14:paraId="455D6B66"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0B8F917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26</w:t>
            </w:r>
          </w:p>
        </w:tc>
        <w:tc>
          <w:tcPr>
            <w:tcW w:w="4395" w:type="dxa"/>
            <w:tcBorders>
              <w:top w:val="nil"/>
              <w:left w:val="nil"/>
              <w:bottom w:val="single" w:sz="4" w:space="0" w:color="auto"/>
              <w:right w:val="single" w:sz="4" w:space="0" w:color="auto"/>
            </w:tcBorders>
            <w:noWrap/>
            <w:vAlign w:val="bottom"/>
            <w:hideMark/>
          </w:tcPr>
          <w:p w14:paraId="1DCCCF9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Stuttgart (Germany)</w:t>
            </w:r>
          </w:p>
        </w:tc>
        <w:tc>
          <w:tcPr>
            <w:tcW w:w="992"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554568C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E1F1E8"/>
            <w:noWrap/>
            <w:vAlign w:val="bottom"/>
            <w:hideMark/>
          </w:tcPr>
          <w:p w14:paraId="62D1F46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21</w:t>
            </w:r>
          </w:p>
        </w:tc>
        <w:tc>
          <w:tcPr>
            <w:tcW w:w="1134"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2B9A309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0.492</w:t>
            </w:r>
          </w:p>
        </w:tc>
        <w:tc>
          <w:tcPr>
            <w:tcW w:w="1133" w:type="dxa"/>
            <w:tcBorders>
              <w:top w:val="single" w:sz="4" w:space="0" w:color="auto"/>
              <w:left w:val="single" w:sz="4" w:space="0" w:color="auto"/>
              <w:bottom w:val="single" w:sz="4" w:space="0" w:color="auto"/>
              <w:right w:val="single" w:sz="4" w:space="0" w:color="auto"/>
            </w:tcBorders>
            <w:shd w:val="clear" w:color="000000" w:fill="F5FAF9"/>
            <w:noWrap/>
            <w:vAlign w:val="bottom"/>
            <w:hideMark/>
          </w:tcPr>
          <w:p w14:paraId="5547FA6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0.021</w:t>
            </w:r>
          </w:p>
        </w:tc>
      </w:tr>
      <w:tr w:rsidR="00A925A3" w:rsidRPr="00516C1F" w14:paraId="1F5B6D4C"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BEE142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27</w:t>
            </w:r>
          </w:p>
        </w:tc>
        <w:tc>
          <w:tcPr>
            <w:tcW w:w="4395" w:type="dxa"/>
            <w:tcBorders>
              <w:top w:val="nil"/>
              <w:left w:val="nil"/>
              <w:bottom w:val="single" w:sz="4" w:space="0" w:color="auto"/>
              <w:right w:val="single" w:sz="4" w:space="0" w:color="auto"/>
            </w:tcBorders>
            <w:noWrap/>
            <w:vAlign w:val="bottom"/>
            <w:hideMark/>
          </w:tcPr>
          <w:p w14:paraId="6788E04E"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Medical University of Vienna (Austria)</w:t>
            </w:r>
          </w:p>
        </w:tc>
        <w:tc>
          <w:tcPr>
            <w:tcW w:w="992"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0912080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13C99E8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16</w:t>
            </w:r>
          </w:p>
        </w:tc>
        <w:tc>
          <w:tcPr>
            <w:tcW w:w="1134" w:type="dxa"/>
            <w:tcBorders>
              <w:top w:val="single" w:sz="4" w:space="0" w:color="auto"/>
              <w:left w:val="single" w:sz="4" w:space="0" w:color="auto"/>
              <w:bottom w:val="single" w:sz="4" w:space="0" w:color="auto"/>
              <w:right w:val="single" w:sz="4" w:space="0" w:color="auto"/>
            </w:tcBorders>
            <w:shd w:val="clear" w:color="000000" w:fill="EEF7F3"/>
            <w:noWrap/>
            <w:vAlign w:val="bottom"/>
            <w:hideMark/>
          </w:tcPr>
          <w:p w14:paraId="38D443B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0.465</w:t>
            </w:r>
          </w:p>
        </w:tc>
        <w:tc>
          <w:tcPr>
            <w:tcW w:w="1133"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4235A72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0.014</w:t>
            </w:r>
          </w:p>
        </w:tc>
      </w:tr>
      <w:tr w:rsidR="00A925A3" w:rsidRPr="00516C1F" w14:paraId="2D307F4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17CD16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28</w:t>
            </w:r>
          </w:p>
        </w:tc>
        <w:tc>
          <w:tcPr>
            <w:tcW w:w="4395" w:type="dxa"/>
            <w:tcBorders>
              <w:top w:val="nil"/>
              <w:left w:val="nil"/>
              <w:bottom w:val="single" w:sz="4" w:space="0" w:color="auto"/>
              <w:right w:val="single" w:sz="4" w:space="0" w:color="auto"/>
            </w:tcBorders>
            <w:noWrap/>
            <w:vAlign w:val="bottom"/>
            <w:hideMark/>
          </w:tcPr>
          <w:p w14:paraId="7C7B341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JOANNEUM RESEARCH </w:t>
            </w:r>
            <w:proofErr w:type="spellStart"/>
            <w:r w:rsidRPr="00516C1F">
              <w:rPr>
                <w:rFonts w:eastAsia="Times New Roman" w:cs="Calibri"/>
                <w:color w:val="000000"/>
                <w:kern w:val="0"/>
                <w:sz w:val="16"/>
                <w:szCs w:val="16"/>
                <w:lang w:val="en-GB"/>
                <w14:ligatures w14:val="none"/>
              </w:rPr>
              <w:t>Forschungsgesellschaft</w:t>
            </w:r>
            <w:proofErr w:type="spellEnd"/>
            <w:r w:rsidRPr="00516C1F">
              <w:rPr>
                <w:rFonts w:eastAsia="Times New Roman" w:cs="Calibri"/>
                <w:color w:val="000000"/>
                <w:kern w:val="0"/>
                <w:sz w:val="16"/>
                <w:szCs w:val="16"/>
                <w:lang w:val="en-GB"/>
                <w14:ligatures w14:val="none"/>
              </w:rPr>
              <w:t xml:space="preserve"> </w:t>
            </w:r>
            <w:proofErr w:type="spellStart"/>
            <w:r w:rsidRPr="00516C1F">
              <w:rPr>
                <w:rFonts w:eastAsia="Times New Roman" w:cs="Calibri"/>
                <w:color w:val="000000"/>
                <w:kern w:val="0"/>
                <w:sz w:val="16"/>
                <w:szCs w:val="16"/>
                <w:lang w:val="en-GB"/>
                <w14:ligatures w14:val="none"/>
              </w:rPr>
              <w:t>mbH</w:t>
            </w:r>
            <w:proofErr w:type="spellEnd"/>
            <w:r w:rsidRPr="00516C1F">
              <w:rPr>
                <w:rFonts w:eastAsia="Times New Roman" w:cs="Calibri"/>
                <w:color w:val="000000"/>
                <w:kern w:val="0"/>
                <w:sz w:val="16"/>
                <w:szCs w:val="16"/>
                <w:lang w:val="en-GB"/>
                <w14:ligatures w14:val="none"/>
              </w:rPr>
              <w:t xml:space="preserve"> (Austria)</w:t>
            </w:r>
          </w:p>
        </w:tc>
        <w:tc>
          <w:tcPr>
            <w:tcW w:w="992"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1D8B1D7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7CF7466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F1F8F5"/>
            <w:noWrap/>
            <w:vAlign w:val="bottom"/>
            <w:hideMark/>
          </w:tcPr>
          <w:p w14:paraId="3555099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0.460</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A5E42A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0.004</w:t>
            </w:r>
          </w:p>
        </w:tc>
      </w:tr>
      <w:tr w:rsidR="00A925A3" w:rsidRPr="00516C1F" w14:paraId="2D43A9EB"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88F828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29</w:t>
            </w:r>
          </w:p>
        </w:tc>
        <w:tc>
          <w:tcPr>
            <w:tcW w:w="4395" w:type="dxa"/>
            <w:tcBorders>
              <w:top w:val="nil"/>
              <w:left w:val="nil"/>
              <w:bottom w:val="single" w:sz="4" w:space="0" w:color="auto"/>
              <w:right w:val="single" w:sz="4" w:space="0" w:color="auto"/>
            </w:tcBorders>
            <w:noWrap/>
            <w:vAlign w:val="bottom"/>
            <w:hideMark/>
          </w:tcPr>
          <w:p w14:paraId="748EAC82"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International Institute for Applied Systems Analysis (Austria)</w:t>
            </w:r>
          </w:p>
        </w:tc>
        <w:tc>
          <w:tcPr>
            <w:tcW w:w="992"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207CFE0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7629FD5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3E84E7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0.440</w:t>
            </w:r>
          </w:p>
        </w:tc>
        <w:tc>
          <w:tcPr>
            <w:tcW w:w="1133" w:type="dxa"/>
            <w:tcBorders>
              <w:top w:val="single" w:sz="4" w:space="0" w:color="auto"/>
              <w:left w:val="single" w:sz="4" w:space="0" w:color="auto"/>
              <w:bottom w:val="single" w:sz="4" w:space="0" w:color="auto"/>
              <w:right w:val="single" w:sz="4" w:space="0" w:color="auto"/>
            </w:tcBorders>
            <w:shd w:val="clear" w:color="000000" w:fill="F87173"/>
            <w:noWrap/>
            <w:vAlign w:val="bottom"/>
            <w:hideMark/>
          </w:tcPr>
          <w:p w14:paraId="4217FCA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4B03F8C5"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7DA78C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30</w:t>
            </w:r>
          </w:p>
        </w:tc>
        <w:tc>
          <w:tcPr>
            <w:tcW w:w="4395" w:type="dxa"/>
            <w:tcBorders>
              <w:top w:val="nil"/>
              <w:left w:val="nil"/>
              <w:bottom w:val="single" w:sz="4" w:space="0" w:color="auto"/>
              <w:right w:val="single" w:sz="4" w:space="0" w:color="auto"/>
            </w:tcBorders>
            <w:noWrap/>
            <w:vAlign w:val="bottom"/>
            <w:hideMark/>
          </w:tcPr>
          <w:p w14:paraId="335782E5"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German Cancer Research </w:t>
            </w:r>
            <w:proofErr w:type="spellStart"/>
            <w:r w:rsidRPr="00516C1F">
              <w:rPr>
                <w:rFonts w:eastAsia="Times New Roman" w:cs="Calibri"/>
                <w:color w:val="000000"/>
                <w:kern w:val="0"/>
                <w:sz w:val="16"/>
                <w:szCs w:val="16"/>
                <w:lang w:val="en-GB"/>
                <w14:ligatures w14:val="none"/>
              </w:rPr>
              <w:t>Center</w:t>
            </w:r>
            <w:proofErr w:type="spellEnd"/>
            <w:r w:rsidRPr="00516C1F">
              <w:rPr>
                <w:rFonts w:eastAsia="Times New Roman" w:cs="Calibri"/>
                <w:color w:val="000000"/>
                <w:kern w:val="0"/>
                <w:sz w:val="16"/>
                <w:szCs w:val="16"/>
                <w:lang w:val="en-GB"/>
                <w14:ligatures w14:val="none"/>
              </w:rPr>
              <w:t>, Heidelberg (Germany)</w:t>
            </w:r>
          </w:p>
        </w:tc>
        <w:tc>
          <w:tcPr>
            <w:tcW w:w="992"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3F454B8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070618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FAD3D6"/>
            <w:noWrap/>
            <w:vAlign w:val="bottom"/>
            <w:hideMark/>
          </w:tcPr>
          <w:p w14:paraId="525B255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0.372</w:t>
            </w:r>
          </w:p>
        </w:tc>
        <w:tc>
          <w:tcPr>
            <w:tcW w:w="1133" w:type="dxa"/>
            <w:tcBorders>
              <w:top w:val="single" w:sz="4" w:space="0" w:color="auto"/>
              <w:left w:val="single" w:sz="4" w:space="0" w:color="auto"/>
              <w:bottom w:val="single" w:sz="4" w:space="0" w:color="auto"/>
              <w:right w:val="single" w:sz="4" w:space="0" w:color="auto"/>
            </w:tcBorders>
            <w:shd w:val="clear" w:color="000000" w:fill="FAC9CC"/>
            <w:noWrap/>
            <w:vAlign w:val="bottom"/>
            <w:hideMark/>
          </w:tcPr>
          <w:p w14:paraId="0DB3EFD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149D7416"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726B813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31</w:t>
            </w:r>
          </w:p>
        </w:tc>
        <w:tc>
          <w:tcPr>
            <w:tcW w:w="4395" w:type="dxa"/>
            <w:tcBorders>
              <w:top w:val="nil"/>
              <w:left w:val="nil"/>
              <w:bottom w:val="single" w:sz="4" w:space="0" w:color="auto"/>
              <w:right w:val="single" w:sz="4" w:space="0" w:color="auto"/>
            </w:tcBorders>
            <w:noWrap/>
            <w:vAlign w:val="bottom"/>
            <w:hideMark/>
          </w:tcPr>
          <w:p w14:paraId="2149318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Helmholtz Zentrum München German Research </w:t>
            </w:r>
            <w:proofErr w:type="spellStart"/>
            <w:r w:rsidRPr="00516C1F">
              <w:rPr>
                <w:rFonts w:eastAsia="Times New Roman" w:cs="Calibri"/>
                <w:color w:val="000000"/>
                <w:kern w:val="0"/>
                <w:sz w:val="16"/>
                <w:szCs w:val="16"/>
                <w:lang w:val="en-GB"/>
                <w14:ligatures w14:val="none"/>
              </w:rPr>
              <w:t>Center</w:t>
            </w:r>
            <w:proofErr w:type="spellEnd"/>
            <w:r w:rsidRPr="00516C1F">
              <w:rPr>
                <w:rFonts w:eastAsia="Times New Roman" w:cs="Calibri"/>
                <w:color w:val="000000"/>
                <w:kern w:val="0"/>
                <w:sz w:val="16"/>
                <w:szCs w:val="16"/>
                <w:lang w:val="en-GB"/>
                <w14:ligatures w14:val="none"/>
              </w:rPr>
              <w:t xml:space="preserve"> for Environmental Health (Germany)</w:t>
            </w:r>
          </w:p>
        </w:tc>
        <w:tc>
          <w:tcPr>
            <w:tcW w:w="992"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0FFD454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0257BB1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AD5D8"/>
            <w:noWrap/>
            <w:vAlign w:val="bottom"/>
            <w:hideMark/>
          </w:tcPr>
          <w:p w14:paraId="7AB041D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0.375</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6DA6D3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108EA19D"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77B28E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lastRenderedPageBreak/>
              <w:t>32</w:t>
            </w:r>
          </w:p>
        </w:tc>
        <w:tc>
          <w:tcPr>
            <w:tcW w:w="4395" w:type="dxa"/>
            <w:tcBorders>
              <w:top w:val="nil"/>
              <w:left w:val="nil"/>
              <w:bottom w:val="single" w:sz="4" w:space="0" w:color="auto"/>
              <w:right w:val="single" w:sz="4" w:space="0" w:color="auto"/>
            </w:tcBorders>
            <w:noWrap/>
            <w:vAlign w:val="bottom"/>
            <w:hideMark/>
          </w:tcPr>
          <w:p w14:paraId="4ADE5AD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Palacký</w:t>
            </w:r>
            <w:proofErr w:type="spellEnd"/>
            <w:r w:rsidRPr="00516C1F">
              <w:rPr>
                <w:rFonts w:eastAsia="Times New Roman" w:cs="Calibri"/>
                <w:color w:val="000000"/>
                <w:kern w:val="0"/>
                <w:sz w:val="16"/>
                <w:szCs w:val="16"/>
                <w:lang w:val="en-GB"/>
                <w14:ligatures w14:val="none"/>
              </w:rPr>
              <w:t xml:space="preserve"> University Olomouc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4F4F302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2BF86B9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74455F7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0.476</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46D4F7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25A3" w:rsidRPr="00516C1F" w14:paraId="2314FF91"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ADAB08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33</w:t>
            </w:r>
          </w:p>
        </w:tc>
        <w:tc>
          <w:tcPr>
            <w:tcW w:w="4395" w:type="dxa"/>
            <w:tcBorders>
              <w:top w:val="nil"/>
              <w:left w:val="nil"/>
              <w:bottom w:val="single" w:sz="4" w:space="0" w:color="auto"/>
              <w:right w:val="single" w:sz="4" w:space="0" w:color="auto"/>
            </w:tcBorders>
            <w:noWrap/>
            <w:vAlign w:val="bottom"/>
            <w:hideMark/>
          </w:tcPr>
          <w:p w14:paraId="42B39A4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Innsbruck (Austria)</w:t>
            </w:r>
          </w:p>
        </w:tc>
        <w:tc>
          <w:tcPr>
            <w:tcW w:w="992"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7F32E1E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5E11064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1134" w:type="dxa"/>
            <w:tcBorders>
              <w:top w:val="single" w:sz="4" w:space="0" w:color="auto"/>
              <w:left w:val="single" w:sz="4" w:space="0" w:color="auto"/>
              <w:bottom w:val="single" w:sz="4" w:space="0" w:color="auto"/>
              <w:right w:val="single" w:sz="4" w:space="0" w:color="auto"/>
            </w:tcBorders>
            <w:shd w:val="clear" w:color="000000" w:fill="F5FAF9"/>
            <w:noWrap/>
            <w:vAlign w:val="bottom"/>
            <w:hideMark/>
          </w:tcPr>
          <w:p w14:paraId="4E2B986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0.452</w:t>
            </w:r>
          </w:p>
        </w:tc>
        <w:tc>
          <w:tcPr>
            <w:tcW w:w="1133" w:type="dxa"/>
            <w:tcBorders>
              <w:top w:val="single" w:sz="4" w:space="0" w:color="auto"/>
              <w:left w:val="single" w:sz="4" w:space="0" w:color="auto"/>
              <w:bottom w:val="single" w:sz="4" w:space="0" w:color="auto"/>
              <w:right w:val="single" w:sz="4" w:space="0" w:color="auto"/>
            </w:tcBorders>
            <w:shd w:val="clear" w:color="000000" w:fill="FBFCFF"/>
            <w:noWrap/>
            <w:vAlign w:val="bottom"/>
            <w:hideMark/>
          </w:tcPr>
          <w:p w14:paraId="79829ED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25A3" w:rsidRPr="00516C1F" w14:paraId="5317E502"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79D269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34</w:t>
            </w:r>
          </w:p>
        </w:tc>
        <w:tc>
          <w:tcPr>
            <w:tcW w:w="4395" w:type="dxa"/>
            <w:tcBorders>
              <w:top w:val="nil"/>
              <w:left w:val="nil"/>
              <w:bottom w:val="single" w:sz="4" w:space="0" w:color="auto"/>
              <w:right w:val="single" w:sz="4" w:space="0" w:color="auto"/>
            </w:tcBorders>
            <w:noWrap/>
            <w:vAlign w:val="bottom"/>
            <w:hideMark/>
          </w:tcPr>
          <w:p w14:paraId="62DDF1D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Silicon Austria Labs GmbH (Austria)</w:t>
            </w:r>
          </w:p>
        </w:tc>
        <w:tc>
          <w:tcPr>
            <w:tcW w:w="992"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77941C3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DBEFE3"/>
            <w:noWrap/>
            <w:vAlign w:val="bottom"/>
            <w:hideMark/>
          </w:tcPr>
          <w:p w14:paraId="080BA35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24</w:t>
            </w:r>
          </w:p>
        </w:tc>
        <w:tc>
          <w:tcPr>
            <w:tcW w:w="1134" w:type="dxa"/>
            <w:tcBorders>
              <w:top w:val="single" w:sz="4" w:space="0" w:color="auto"/>
              <w:left w:val="single" w:sz="4" w:space="0" w:color="auto"/>
              <w:bottom w:val="single" w:sz="4" w:space="0" w:color="auto"/>
              <w:right w:val="single" w:sz="4" w:space="0" w:color="auto"/>
            </w:tcBorders>
            <w:shd w:val="clear" w:color="000000" w:fill="E0F1E7"/>
            <w:noWrap/>
            <w:vAlign w:val="bottom"/>
            <w:hideMark/>
          </w:tcPr>
          <w:p w14:paraId="41869C3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0.490</w:t>
            </w:r>
          </w:p>
        </w:tc>
        <w:tc>
          <w:tcPr>
            <w:tcW w:w="1133"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6423F91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0.009</w:t>
            </w:r>
          </w:p>
        </w:tc>
      </w:tr>
      <w:tr w:rsidR="00A925A3" w:rsidRPr="00516C1F" w14:paraId="41C655D3"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6B96F0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35</w:t>
            </w:r>
          </w:p>
        </w:tc>
        <w:tc>
          <w:tcPr>
            <w:tcW w:w="4395" w:type="dxa"/>
            <w:tcBorders>
              <w:top w:val="nil"/>
              <w:left w:val="nil"/>
              <w:bottom w:val="single" w:sz="4" w:space="0" w:color="auto"/>
              <w:right w:val="single" w:sz="4" w:space="0" w:color="auto"/>
            </w:tcBorders>
            <w:noWrap/>
            <w:vAlign w:val="bottom"/>
            <w:hideMark/>
          </w:tcPr>
          <w:p w14:paraId="22E4DEDF"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TTTech</w:t>
            </w:r>
            <w:proofErr w:type="spellEnd"/>
            <w:r w:rsidRPr="00516C1F">
              <w:rPr>
                <w:rFonts w:eastAsia="Times New Roman" w:cs="Calibri"/>
                <w:color w:val="000000"/>
                <w:kern w:val="0"/>
                <w:sz w:val="16"/>
                <w:szCs w:val="16"/>
                <w:lang w:val="en-GB"/>
                <w14:ligatures w14:val="none"/>
              </w:rPr>
              <w:t xml:space="preserve"> </w:t>
            </w:r>
            <w:proofErr w:type="spellStart"/>
            <w:r w:rsidRPr="00516C1F">
              <w:rPr>
                <w:rFonts w:eastAsia="Times New Roman" w:cs="Calibri"/>
                <w:color w:val="000000"/>
                <w:kern w:val="0"/>
                <w:sz w:val="16"/>
                <w:szCs w:val="16"/>
                <w:lang w:val="en-GB"/>
                <w14:ligatures w14:val="none"/>
              </w:rPr>
              <w:t>Computertechnik</w:t>
            </w:r>
            <w:proofErr w:type="spellEnd"/>
            <w:r w:rsidRPr="00516C1F">
              <w:rPr>
                <w:rFonts w:eastAsia="Times New Roman" w:cs="Calibri"/>
                <w:color w:val="000000"/>
                <w:kern w:val="0"/>
                <w:sz w:val="16"/>
                <w:szCs w:val="16"/>
                <w:lang w:val="en-GB"/>
                <w14:ligatures w14:val="none"/>
              </w:rPr>
              <w:t xml:space="preserve"> AG (Austria)</w:t>
            </w:r>
          </w:p>
        </w:tc>
        <w:tc>
          <w:tcPr>
            <w:tcW w:w="992"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4146D28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D9EEE1"/>
            <w:noWrap/>
            <w:vAlign w:val="bottom"/>
            <w:hideMark/>
          </w:tcPr>
          <w:p w14:paraId="550648E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25</w:t>
            </w:r>
          </w:p>
        </w:tc>
        <w:tc>
          <w:tcPr>
            <w:tcW w:w="113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6D27759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0.508</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1DD64FF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0.006</w:t>
            </w:r>
          </w:p>
        </w:tc>
      </w:tr>
      <w:tr w:rsidR="00A925A3" w:rsidRPr="00516C1F" w14:paraId="57793AE8"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0D7681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36</w:t>
            </w:r>
          </w:p>
        </w:tc>
        <w:tc>
          <w:tcPr>
            <w:tcW w:w="4395" w:type="dxa"/>
            <w:tcBorders>
              <w:top w:val="nil"/>
              <w:left w:val="nil"/>
              <w:bottom w:val="single" w:sz="4" w:space="0" w:color="auto"/>
              <w:right w:val="single" w:sz="4" w:space="0" w:color="auto"/>
            </w:tcBorders>
            <w:noWrap/>
            <w:vAlign w:val="bottom"/>
            <w:hideMark/>
          </w:tcPr>
          <w:p w14:paraId="12C18F3B"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Heidelberg University Hospital (Germany)</w:t>
            </w:r>
          </w:p>
        </w:tc>
        <w:tc>
          <w:tcPr>
            <w:tcW w:w="992"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26A07F8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764A627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BDDE0"/>
            <w:noWrap/>
            <w:vAlign w:val="bottom"/>
            <w:hideMark/>
          </w:tcPr>
          <w:p w14:paraId="1EB0876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0.389</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479DA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61B9A41D"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0D5CBB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37</w:t>
            </w:r>
          </w:p>
        </w:tc>
        <w:tc>
          <w:tcPr>
            <w:tcW w:w="4395" w:type="dxa"/>
            <w:tcBorders>
              <w:top w:val="nil"/>
              <w:left w:val="nil"/>
              <w:bottom w:val="single" w:sz="4" w:space="0" w:color="auto"/>
              <w:right w:val="single" w:sz="4" w:space="0" w:color="auto"/>
            </w:tcBorders>
            <w:noWrap/>
            <w:vAlign w:val="bottom"/>
            <w:hideMark/>
          </w:tcPr>
          <w:p w14:paraId="04F43758"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Foodscale</w:t>
            </w:r>
            <w:proofErr w:type="spellEnd"/>
            <w:r w:rsidRPr="00516C1F">
              <w:rPr>
                <w:rFonts w:eastAsia="Times New Roman" w:cs="Calibri"/>
                <w:color w:val="000000"/>
                <w:kern w:val="0"/>
                <w:sz w:val="16"/>
                <w:szCs w:val="16"/>
                <w:lang w:val="en-GB"/>
                <w14:ligatures w14:val="none"/>
              </w:rPr>
              <w:t xml:space="preserve"> </w:t>
            </w:r>
            <w:proofErr w:type="gramStart"/>
            <w:r w:rsidRPr="00516C1F">
              <w:rPr>
                <w:rFonts w:eastAsia="Times New Roman" w:cs="Calibri"/>
                <w:color w:val="000000"/>
                <w:kern w:val="0"/>
                <w:sz w:val="16"/>
                <w:szCs w:val="16"/>
                <w:lang w:val="en-GB"/>
                <w14:ligatures w14:val="none"/>
              </w:rPr>
              <w:t>Hub  (</w:t>
            </w:r>
            <w:proofErr w:type="gramEnd"/>
            <w:r w:rsidRPr="00516C1F">
              <w:rPr>
                <w:rFonts w:eastAsia="Times New Roman" w:cs="Calibri"/>
                <w:color w:val="000000"/>
                <w:kern w:val="0"/>
                <w:sz w:val="16"/>
                <w:szCs w:val="16"/>
                <w:lang w:val="en-GB"/>
                <w14:ligatures w14:val="none"/>
              </w:rPr>
              <w:t>Serbia)</w:t>
            </w:r>
          </w:p>
        </w:tc>
        <w:tc>
          <w:tcPr>
            <w:tcW w:w="992"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27FBEFF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07322ED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9AFB2"/>
            <w:noWrap/>
            <w:vAlign w:val="bottom"/>
            <w:hideMark/>
          </w:tcPr>
          <w:p w14:paraId="2B3B28C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0.312</w:t>
            </w:r>
          </w:p>
        </w:tc>
        <w:tc>
          <w:tcPr>
            <w:tcW w:w="1133"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1798F34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0.046</w:t>
            </w:r>
          </w:p>
        </w:tc>
      </w:tr>
      <w:tr w:rsidR="00A925A3" w:rsidRPr="00516C1F" w14:paraId="22916DD5"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9D9C4A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38</w:t>
            </w:r>
          </w:p>
        </w:tc>
        <w:tc>
          <w:tcPr>
            <w:tcW w:w="4395" w:type="dxa"/>
            <w:tcBorders>
              <w:top w:val="nil"/>
              <w:left w:val="nil"/>
              <w:bottom w:val="single" w:sz="4" w:space="0" w:color="auto"/>
              <w:right w:val="single" w:sz="4" w:space="0" w:color="auto"/>
            </w:tcBorders>
            <w:noWrap/>
            <w:vAlign w:val="bottom"/>
            <w:hideMark/>
          </w:tcPr>
          <w:p w14:paraId="225A0586"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Budapest University of Technology and Economics (Hungary)</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7292AAC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7FADE6C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16</w:t>
            </w:r>
          </w:p>
        </w:tc>
        <w:tc>
          <w:tcPr>
            <w:tcW w:w="1134" w:type="dxa"/>
            <w:tcBorders>
              <w:top w:val="single" w:sz="4" w:space="0" w:color="auto"/>
              <w:left w:val="single" w:sz="4" w:space="0" w:color="auto"/>
              <w:bottom w:val="single" w:sz="4" w:space="0" w:color="auto"/>
              <w:right w:val="single" w:sz="4" w:space="0" w:color="auto"/>
            </w:tcBorders>
            <w:shd w:val="clear" w:color="000000" w:fill="EAF5F0"/>
            <w:noWrap/>
            <w:vAlign w:val="bottom"/>
            <w:hideMark/>
          </w:tcPr>
          <w:p w14:paraId="4D7C89A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0.472</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3DB9F8F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0.007</w:t>
            </w:r>
          </w:p>
        </w:tc>
      </w:tr>
      <w:tr w:rsidR="00A925A3" w:rsidRPr="00516C1F" w14:paraId="332FD62B"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02F442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39</w:t>
            </w:r>
          </w:p>
        </w:tc>
        <w:tc>
          <w:tcPr>
            <w:tcW w:w="4395" w:type="dxa"/>
            <w:tcBorders>
              <w:top w:val="nil"/>
              <w:left w:val="nil"/>
              <w:bottom w:val="single" w:sz="4" w:space="0" w:color="auto"/>
              <w:right w:val="single" w:sz="4" w:space="0" w:color="auto"/>
            </w:tcBorders>
            <w:noWrap/>
            <w:vAlign w:val="bottom"/>
            <w:hideMark/>
          </w:tcPr>
          <w:p w14:paraId="70560905"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General Inspectorate of the Police (Moldova)</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2FA4ECE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6520CC3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AD0D3"/>
            <w:noWrap/>
            <w:vAlign w:val="bottom"/>
            <w:hideMark/>
          </w:tcPr>
          <w:p w14:paraId="3646DDE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0.368</w:t>
            </w:r>
          </w:p>
        </w:tc>
        <w:tc>
          <w:tcPr>
            <w:tcW w:w="1133" w:type="dxa"/>
            <w:tcBorders>
              <w:top w:val="single" w:sz="4" w:space="0" w:color="auto"/>
              <w:left w:val="single" w:sz="4" w:space="0" w:color="auto"/>
              <w:bottom w:val="single" w:sz="4" w:space="0" w:color="auto"/>
              <w:right w:val="single" w:sz="4" w:space="0" w:color="auto"/>
            </w:tcBorders>
            <w:shd w:val="clear" w:color="000000" w:fill="F88D8F"/>
            <w:noWrap/>
            <w:vAlign w:val="bottom"/>
            <w:hideMark/>
          </w:tcPr>
          <w:p w14:paraId="57BAC54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8AC7D20"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D37F62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40</w:t>
            </w:r>
          </w:p>
        </w:tc>
        <w:tc>
          <w:tcPr>
            <w:tcW w:w="4395" w:type="dxa"/>
            <w:tcBorders>
              <w:top w:val="nil"/>
              <w:left w:val="nil"/>
              <w:bottom w:val="single" w:sz="4" w:space="0" w:color="auto"/>
              <w:right w:val="single" w:sz="4" w:space="0" w:color="auto"/>
            </w:tcBorders>
            <w:noWrap/>
            <w:vAlign w:val="bottom"/>
            <w:hideMark/>
          </w:tcPr>
          <w:p w14:paraId="76EA26E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INQBIT Innovations SRL (Romania)</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0FE360B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BE7E9"/>
            <w:noWrap/>
            <w:vAlign w:val="bottom"/>
            <w:hideMark/>
          </w:tcPr>
          <w:p w14:paraId="2102C6A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028C54B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0.446</w:t>
            </w:r>
          </w:p>
        </w:tc>
        <w:tc>
          <w:tcPr>
            <w:tcW w:w="1133" w:type="dxa"/>
            <w:tcBorders>
              <w:top w:val="single" w:sz="4" w:space="0" w:color="auto"/>
              <w:left w:val="single" w:sz="4" w:space="0" w:color="auto"/>
              <w:bottom w:val="single" w:sz="4" w:space="0" w:color="auto"/>
              <w:right w:val="single" w:sz="4" w:space="0" w:color="auto"/>
            </w:tcBorders>
            <w:shd w:val="clear" w:color="000000" w:fill="FBFCFF"/>
            <w:noWrap/>
            <w:vAlign w:val="bottom"/>
            <w:hideMark/>
          </w:tcPr>
          <w:p w14:paraId="5C9A5B4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25A3" w:rsidRPr="00516C1F" w14:paraId="21570846"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C49064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41</w:t>
            </w:r>
          </w:p>
        </w:tc>
        <w:tc>
          <w:tcPr>
            <w:tcW w:w="4395" w:type="dxa"/>
            <w:tcBorders>
              <w:top w:val="nil"/>
              <w:left w:val="nil"/>
              <w:bottom w:val="single" w:sz="4" w:space="0" w:color="auto"/>
              <w:right w:val="single" w:sz="4" w:space="0" w:color="auto"/>
            </w:tcBorders>
            <w:noWrap/>
            <w:vAlign w:val="bottom"/>
            <w:hideMark/>
          </w:tcPr>
          <w:p w14:paraId="18836B00"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Technical University of Ostrava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04ACAD4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EAF5EF"/>
            <w:noWrap/>
            <w:vAlign w:val="bottom"/>
            <w:hideMark/>
          </w:tcPr>
          <w:p w14:paraId="6F8135B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17</w:t>
            </w:r>
          </w:p>
        </w:tc>
        <w:tc>
          <w:tcPr>
            <w:tcW w:w="1134" w:type="dxa"/>
            <w:tcBorders>
              <w:top w:val="single" w:sz="4" w:space="0" w:color="auto"/>
              <w:left w:val="single" w:sz="4" w:space="0" w:color="auto"/>
              <w:bottom w:val="single" w:sz="4" w:space="0" w:color="auto"/>
              <w:right w:val="single" w:sz="4" w:space="0" w:color="auto"/>
            </w:tcBorders>
            <w:shd w:val="clear" w:color="000000" w:fill="E3F2EA"/>
            <w:noWrap/>
            <w:vAlign w:val="bottom"/>
            <w:hideMark/>
          </w:tcPr>
          <w:p w14:paraId="4AF5B58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0.485</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F4190A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1D2D8A5E"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2E5225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42</w:t>
            </w:r>
          </w:p>
        </w:tc>
        <w:tc>
          <w:tcPr>
            <w:tcW w:w="4395" w:type="dxa"/>
            <w:tcBorders>
              <w:top w:val="nil"/>
              <w:left w:val="nil"/>
              <w:bottom w:val="single" w:sz="4" w:space="0" w:color="auto"/>
              <w:right w:val="single" w:sz="4" w:space="0" w:color="auto"/>
            </w:tcBorders>
            <w:noWrap/>
            <w:vAlign w:val="bottom"/>
            <w:hideMark/>
          </w:tcPr>
          <w:p w14:paraId="4B637DA8"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Software Imagination &amp; Vision SRL (Romania)</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42D8814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06E371A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5E8CFC9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0.424</w:t>
            </w:r>
          </w:p>
        </w:tc>
        <w:tc>
          <w:tcPr>
            <w:tcW w:w="1133"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61C351F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0.013</w:t>
            </w:r>
          </w:p>
        </w:tc>
      </w:tr>
      <w:tr w:rsidR="00A925A3" w:rsidRPr="00516C1F" w14:paraId="07D974C3"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721ECB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43</w:t>
            </w:r>
          </w:p>
        </w:tc>
        <w:tc>
          <w:tcPr>
            <w:tcW w:w="4395" w:type="dxa"/>
            <w:tcBorders>
              <w:top w:val="nil"/>
              <w:left w:val="nil"/>
              <w:bottom w:val="single" w:sz="4" w:space="0" w:color="auto"/>
              <w:right w:val="single" w:sz="4" w:space="0" w:color="auto"/>
            </w:tcBorders>
            <w:noWrap/>
            <w:vAlign w:val="bottom"/>
            <w:hideMark/>
          </w:tcPr>
          <w:p w14:paraId="6B8448DB"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Research and Innovation Services Ltd. for Services (Croatia)</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4CEBE1E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104768B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1134" w:type="dxa"/>
            <w:tcBorders>
              <w:top w:val="single" w:sz="4" w:space="0" w:color="auto"/>
              <w:left w:val="single" w:sz="4" w:space="0" w:color="auto"/>
              <w:bottom w:val="single" w:sz="4" w:space="0" w:color="auto"/>
              <w:right w:val="single" w:sz="4" w:space="0" w:color="auto"/>
            </w:tcBorders>
            <w:shd w:val="clear" w:color="000000" w:fill="EAF5F0"/>
            <w:noWrap/>
            <w:vAlign w:val="bottom"/>
            <w:hideMark/>
          </w:tcPr>
          <w:p w14:paraId="1E88F49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0.472</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071D3DD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25A3" w:rsidRPr="00516C1F" w14:paraId="0C5E5BDB"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C611DA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44</w:t>
            </w:r>
          </w:p>
        </w:tc>
        <w:tc>
          <w:tcPr>
            <w:tcW w:w="4395" w:type="dxa"/>
            <w:tcBorders>
              <w:top w:val="nil"/>
              <w:left w:val="nil"/>
              <w:bottom w:val="single" w:sz="4" w:space="0" w:color="auto"/>
              <w:right w:val="single" w:sz="4" w:space="0" w:color="auto"/>
            </w:tcBorders>
            <w:noWrap/>
            <w:vAlign w:val="bottom"/>
            <w:hideMark/>
          </w:tcPr>
          <w:p w14:paraId="74BB6E1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Bayreuth (Germany)</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557ACA0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62A4995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5F9BD76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0.474</w:t>
            </w:r>
          </w:p>
        </w:tc>
        <w:tc>
          <w:tcPr>
            <w:tcW w:w="1133" w:type="dxa"/>
            <w:tcBorders>
              <w:top w:val="single" w:sz="4" w:space="0" w:color="auto"/>
              <w:left w:val="single" w:sz="4" w:space="0" w:color="auto"/>
              <w:bottom w:val="single" w:sz="4" w:space="0" w:color="auto"/>
              <w:right w:val="single" w:sz="4" w:space="0" w:color="auto"/>
            </w:tcBorders>
            <w:shd w:val="clear" w:color="000000" w:fill="F9FBFC"/>
            <w:noWrap/>
            <w:vAlign w:val="bottom"/>
            <w:hideMark/>
          </w:tcPr>
          <w:p w14:paraId="78A27B3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0.012</w:t>
            </w:r>
          </w:p>
        </w:tc>
      </w:tr>
      <w:tr w:rsidR="00A925A3" w:rsidRPr="00516C1F" w14:paraId="2900C0D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AF696B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45</w:t>
            </w:r>
          </w:p>
        </w:tc>
        <w:tc>
          <w:tcPr>
            <w:tcW w:w="4395" w:type="dxa"/>
            <w:tcBorders>
              <w:top w:val="nil"/>
              <w:left w:val="nil"/>
              <w:bottom w:val="single" w:sz="4" w:space="0" w:color="auto"/>
              <w:right w:val="single" w:sz="4" w:space="0" w:color="auto"/>
            </w:tcBorders>
            <w:noWrap/>
            <w:vAlign w:val="bottom"/>
            <w:hideMark/>
          </w:tcPr>
          <w:p w14:paraId="01016A4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Graz (Austria)</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2E57510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66CB6F1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CCCF"/>
            <w:noWrap/>
            <w:vAlign w:val="bottom"/>
            <w:hideMark/>
          </w:tcPr>
          <w:p w14:paraId="25711DD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0.361</w:t>
            </w:r>
          </w:p>
        </w:tc>
        <w:tc>
          <w:tcPr>
            <w:tcW w:w="1133" w:type="dxa"/>
            <w:tcBorders>
              <w:top w:val="single" w:sz="4" w:space="0" w:color="auto"/>
              <w:left w:val="single" w:sz="4" w:space="0" w:color="auto"/>
              <w:bottom w:val="single" w:sz="4" w:space="0" w:color="auto"/>
              <w:right w:val="single" w:sz="4" w:space="0" w:color="auto"/>
            </w:tcBorders>
            <w:shd w:val="clear" w:color="000000" w:fill="F87072"/>
            <w:noWrap/>
            <w:vAlign w:val="bottom"/>
            <w:hideMark/>
          </w:tcPr>
          <w:p w14:paraId="7F92422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3D2D7059"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CF2B68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46</w:t>
            </w:r>
          </w:p>
        </w:tc>
        <w:tc>
          <w:tcPr>
            <w:tcW w:w="4395" w:type="dxa"/>
            <w:tcBorders>
              <w:top w:val="nil"/>
              <w:left w:val="nil"/>
              <w:bottom w:val="single" w:sz="4" w:space="0" w:color="auto"/>
              <w:right w:val="single" w:sz="4" w:space="0" w:color="auto"/>
            </w:tcBorders>
            <w:noWrap/>
            <w:vAlign w:val="bottom"/>
            <w:hideMark/>
          </w:tcPr>
          <w:p w14:paraId="2650F1E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Ulm (Germany)</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0A5DA9E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464BBB1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14:paraId="62562A3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0.403</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E9E624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25A3" w:rsidRPr="00516C1F" w14:paraId="346DE0A6"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33BDA6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47</w:t>
            </w:r>
          </w:p>
        </w:tc>
        <w:tc>
          <w:tcPr>
            <w:tcW w:w="4395" w:type="dxa"/>
            <w:tcBorders>
              <w:top w:val="nil"/>
              <w:left w:val="nil"/>
              <w:bottom w:val="single" w:sz="4" w:space="0" w:color="auto"/>
              <w:right w:val="single" w:sz="4" w:space="0" w:color="auto"/>
            </w:tcBorders>
            <w:noWrap/>
            <w:vAlign w:val="bottom"/>
            <w:hideMark/>
          </w:tcPr>
          <w:p w14:paraId="7A36739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Johannes Kepler University Linz (Austria)</w:t>
            </w:r>
          </w:p>
        </w:tc>
        <w:tc>
          <w:tcPr>
            <w:tcW w:w="992"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15FE31D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53CADCD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w:t>
            </w:r>
          </w:p>
        </w:tc>
        <w:tc>
          <w:tcPr>
            <w:tcW w:w="1134" w:type="dxa"/>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28873F3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0.469</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790ADF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25A3" w:rsidRPr="00516C1F" w14:paraId="7118B4DC"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765021E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48</w:t>
            </w:r>
          </w:p>
        </w:tc>
        <w:tc>
          <w:tcPr>
            <w:tcW w:w="4395" w:type="dxa"/>
            <w:tcBorders>
              <w:top w:val="nil"/>
              <w:left w:val="nil"/>
              <w:bottom w:val="single" w:sz="4" w:space="0" w:color="auto"/>
              <w:right w:val="single" w:sz="4" w:space="0" w:color="auto"/>
            </w:tcBorders>
            <w:noWrap/>
            <w:vAlign w:val="bottom"/>
            <w:hideMark/>
          </w:tcPr>
          <w:p w14:paraId="7B32C1A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Biobanks and Biomolecular Resources Research Infrastructure Consortium (BBMRI-ERIC) (Austria)</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653C69B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59AFFB3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EEF7F3"/>
            <w:noWrap/>
            <w:vAlign w:val="bottom"/>
            <w:hideMark/>
          </w:tcPr>
          <w:p w14:paraId="4F45BBE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0.465</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1478DD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25A3" w:rsidRPr="00516C1F" w14:paraId="26E44731"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BDF5AA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49</w:t>
            </w:r>
          </w:p>
        </w:tc>
        <w:tc>
          <w:tcPr>
            <w:tcW w:w="4395" w:type="dxa"/>
            <w:tcBorders>
              <w:top w:val="nil"/>
              <w:left w:val="nil"/>
              <w:bottom w:val="single" w:sz="4" w:space="0" w:color="auto"/>
              <w:right w:val="single" w:sz="4" w:space="0" w:color="auto"/>
            </w:tcBorders>
            <w:noWrap/>
            <w:vAlign w:val="bottom"/>
            <w:hideMark/>
          </w:tcPr>
          <w:p w14:paraId="22A48BF6"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BMW AG (Germany)</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1D9A1C0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E8F4ED"/>
            <w:noWrap/>
            <w:vAlign w:val="bottom"/>
            <w:hideMark/>
          </w:tcPr>
          <w:p w14:paraId="3C332E1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18</w:t>
            </w:r>
          </w:p>
        </w:tc>
        <w:tc>
          <w:tcPr>
            <w:tcW w:w="1134" w:type="dxa"/>
            <w:tcBorders>
              <w:top w:val="single" w:sz="4" w:space="0" w:color="auto"/>
              <w:left w:val="single" w:sz="4" w:space="0" w:color="auto"/>
              <w:bottom w:val="single" w:sz="4" w:space="0" w:color="auto"/>
              <w:right w:val="single" w:sz="4" w:space="0" w:color="auto"/>
            </w:tcBorders>
            <w:shd w:val="clear" w:color="000000" w:fill="E0F1E7"/>
            <w:noWrap/>
            <w:vAlign w:val="bottom"/>
            <w:hideMark/>
          </w:tcPr>
          <w:p w14:paraId="127AE1A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0.490</w:t>
            </w:r>
          </w:p>
        </w:tc>
        <w:tc>
          <w:tcPr>
            <w:tcW w:w="1133" w:type="dxa"/>
            <w:tcBorders>
              <w:top w:val="single" w:sz="4" w:space="0" w:color="auto"/>
              <w:left w:val="single" w:sz="4" w:space="0" w:color="auto"/>
              <w:bottom w:val="single" w:sz="4" w:space="0" w:color="auto"/>
              <w:right w:val="single" w:sz="4" w:space="0" w:color="auto"/>
            </w:tcBorders>
            <w:shd w:val="clear" w:color="000000" w:fill="FAD1D3"/>
            <w:noWrap/>
            <w:vAlign w:val="bottom"/>
            <w:hideMark/>
          </w:tcPr>
          <w:p w14:paraId="0F2F5BE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4D7E7C7D"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1E8BD9B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50</w:t>
            </w:r>
          </w:p>
        </w:tc>
        <w:tc>
          <w:tcPr>
            <w:tcW w:w="4395" w:type="dxa"/>
            <w:tcBorders>
              <w:top w:val="nil"/>
              <w:left w:val="nil"/>
              <w:bottom w:val="single" w:sz="4" w:space="0" w:color="auto"/>
              <w:right w:val="single" w:sz="4" w:space="0" w:color="auto"/>
            </w:tcBorders>
            <w:noWrap/>
            <w:vAlign w:val="bottom"/>
            <w:hideMark/>
          </w:tcPr>
          <w:p w14:paraId="762C6D8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Rechts</w:t>
            </w:r>
            <w:proofErr w:type="spellEnd"/>
            <w:r w:rsidRPr="00516C1F">
              <w:rPr>
                <w:rFonts w:eastAsia="Times New Roman" w:cs="Calibri"/>
                <w:color w:val="000000"/>
                <w:kern w:val="0"/>
                <w:sz w:val="16"/>
                <w:szCs w:val="16"/>
                <w:lang w:val="en-GB"/>
                <w14:ligatures w14:val="none"/>
              </w:rPr>
              <w:t xml:space="preserve"> der Isar Hospital, Technical University of Munich (Germany)</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21723C9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368B4C6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18FE628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0.438</w:t>
            </w:r>
          </w:p>
        </w:tc>
        <w:tc>
          <w:tcPr>
            <w:tcW w:w="1133" w:type="dxa"/>
            <w:tcBorders>
              <w:top w:val="single" w:sz="4" w:space="0" w:color="auto"/>
              <w:left w:val="single" w:sz="4" w:space="0" w:color="auto"/>
              <w:bottom w:val="single" w:sz="4" w:space="0" w:color="auto"/>
              <w:right w:val="single" w:sz="4" w:space="0" w:color="auto"/>
            </w:tcBorders>
            <w:shd w:val="clear" w:color="000000" w:fill="FBE0E3"/>
            <w:noWrap/>
            <w:vAlign w:val="bottom"/>
            <w:hideMark/>
          </w:tcPr>
          <w:p w14:paraId="7215E85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4ACF8C2E"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087A941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51</w:t>
            </w:r>
          </w:p>
        </w:tc>
        <w:tc>
          <w:tcPr>
            <w:tcW w:w="4395" w:type="dxa"/>
            <w:tcBorders>
              <w:top w:val="nil"/>
              <w:left w:val="nil"/>
              <w:bottom w:val="single" w:sz="4" w:space="0" w:color="auto"/>
              <w:right w:val="single" w:sz="4" w:space="0" w:color="auto"/>
            </w:tcBorders>
            <w:noWrap/>
            <w:vAlign w:val="bottom"/>
            <w:hideMark/>
          </w:tcPr>
          <w:p w14:paraId="618EFCAE"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National Institute for Research and Development in Microtechnology (Romania)</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45809B5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71D53E2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1CBEA30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0.448</w:t>
            </w:r>
          </w:p>
        </w:tc>
        <w:tc>
          <w:tcPr>
            <w:tcW w:w="1133" w:type="dxa"/>
            <w:tcBorders>
              <w:top w:val="single" w:sz="4" w:space="0" w:color="auto"/>
              <w:left w:val="single" w:sz="4" w:space="0" w:color="auto"/>
              <w:bottom w:val="single" w:sz="4" w:space="0" w:color="auto"/>
              <w:right w:val="single" w:sz="4" w:space="0" w:color="auto"/>
            </w:tcBorders>
            <w:shd w:val="clear" w:color="000000" w:fill="FAD1D3"/>
            <w:noWrap/>
            <w:vAlign w:val="bottom"/>
            <w:hideMark/>
          </w:tcPr>
          <w:p w14:paraId="58803DC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22445A5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741AF1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52</w:t>
            </w:r>
          </w:p>
        </w:tc>
        <w:tc>
          <w:tcPr>
            <w:tcW w:w="4395" w:type="dxa"/>
            <w:tcBorders>
              <w:top w:val="nil"/>
              <w:left w:val="nil"/>
              <w:bottom w:val="single" w:sz="4" w:space="0" w:color="auto"/>
              <w:right w:val="single" w:sz="4" w:space="0" w:color="auto"/>
            </w:tcBorders>
            <w:noWrap/>
            <w:vAlign w:val="bottom"/>
            <w:hideMark/>
          </w:tcPr>
          <w:p w14:paraId="4DE68175"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Vienna University of Economics and Business (Austria)</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1F0154A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11183FE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6A58B9E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0.448</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E131E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25A3" w:rsidRPr="00516C1F" w14:paraId="1F64392D"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34A72E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53</w:t>
            </w:r>
          </w:p>
        </w:tc>
        <w:tc>
          <w:tcPr>
            <w:tcW w:w="4395" w:type="dxa"/>
            <w:tcBorders>
              <w:top w:val="nil"/>
              <w:left w:val="nil"/>
              <w:bottom w:val="single" w:sz="4" w:space="0" w:color="auto"/>
              <w:right w:val="single" w:sz="4" w:space="0" w:color="auto"/>
            </w:tcBorders>
            <w:noWrap/>
            <w:vAlign w:val="bottom"/>
            <w:hideMark/>
          </w:tcPr>
          <w:p w14:paraId="4A26E3B4"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NEC Laboratories Europe GmbH (Germany)</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50FA5DC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2FECC95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AD4D6"/>
            <w:noWrap/>
            <w:vAlign w:val="bottom"/>
            <w:hideMark/>
          </w:tcPr>
          <w:p w14:paraId="29F559A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0.373</w:t>
            </w:r>
          </w:p>
        </w:tc>
        <w:tc>
          <w:tcPr>
            <w:tcW w:w="1133" w:type="dxa"/>
            <w:tcBorders>
              <w:top w:val="single" w:sz="4" w:space="0" w:color="auto"/>
              <w:left w:val="single" w:sz="4" w:space="0" w:color="auto"/>
              <w:bottom w:val="single" w:sz="4" w:space="0" w:color="auto"/>
              <w:right w:val="single" w:sz="4" w:space="0" w:color="auto"/>
            </w:tcBorders>
            <w:shd w:val="clear" w:color="000000" w:fill="FAD6D9"/>
            <w:noWrap/>
            <w:vAlign w:val="bottom"/>
            <w:hideMark/>
          </w:tcPr>
          <w:p w14:paraId="447D8BA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5786AFF5"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2F2383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54</w:t>
            </w:r>
          </w:p>
        </w:tc>
        <w:tc>
          <w:tcPr>
            <w:tcW w:w="4395" w:type="dxa"/>
            <w:tcBorders>
              <w:top w:val="nil"/>
              <w:left w:val="nil"/>
              <w:bottom w:val="single" w:sz="4" w:space="0" w:color="auto"/>
              <w:right w:val="single" w:sz="4" w:space="0" w:color="auto"/>
            </w:tcBorders>
            <w:noWrap/>
            <w:vAlign w:val="bottom"/>
            <w:hideMark/>
          </w:tcPr>
          <w:p w14:paraId="0163205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CESNET, Interest Association of Legal Entities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52DBC62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544E84C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E3F2EA"/>
            <w:noWrap/>
            <w:vAlign w:val="bottom"/>
            <w:hideMark/>
          </w:tcPr>
          <w:p w14:paraId="63481F0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0.485</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60DB48D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25A3" w:rsidRPr="00516C1F" w14:paraId="7C457E2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5191EE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55</w:t>
            </w:r>
          </w:p>
        </w:tc>
        <w:tc>
          <w:tcPr>
            <w:tcW w:w="4395" w:type="dxa"/>
            <w:tcBorders>
              <w:top w:val="nil"/>
              <w:left w:val="nil"/>
              <w:bottom w:val="single" w:sz="4" w:space="0" w:color="auto"/>
              <w:right w:val="single" w:sz="4" w:space="0" w:color="auto"/>
            </w:tcBorders>
            <w:noWrap/>
            <w:vAlign w:val="bottom"/>
            <w:hideMark/>
          </w:tcPr>
          <w:p w14:paraId="0FC32FAE"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Technical University of Cluj-Napoca (Romania)</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4E08DCA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4507017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38CEF3B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0.448</w:t>
            </w:r>
          </w:p>
        </w:tc>
        <w:tc>
          <w:tcPr>
            <w:tcW w:w="1133" w:type="dxa"/>
            <w:tcBorders>
              <w:top w:val="single" w:sz="4" w:space="0" w:color="auto"/>
              <w:left w:val="single" w:sz="4" w:space="0" w:color="auto"/>
              <w:bottom w:val="single" w:sz="4" w:space="0" w:color="auto"/>
              <w:right w:val="single" w:sz="4" w:space="0" w:color="auto"/>
            </w:tcBorders>
            <w:shd w:val="clear" w:color="000000" w:fill="F9A8AB"/>
            <w:noWrap/>
            <w:vAlign w:val="bottom"/>
            <w:hideMark/>
          </w:tcPr>
          <w:p w14:paraId="7667842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23C9119E"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105314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56</w:t>
            </w:r>
          </w:p>
        </w:tc>
        <w:tc>
          <w:tcPr>
            <w:tcW w:w="4395" w:type="dxa"/>
            <w:tcBorders>
              <w:top w:val="nil"/>
              <w:left w:val="nil"/>
              <w:bottom w:val="single" w:sz="4" w:space="0" w:color="auto"/>
              <w:right w:val="single" w:sz="4" w:space="0" w:color="auto"/>
            </w:tcBorders>
            <w:noWrap/>
            <w:vAlign w:val="bottom"/>
            <w:hideMark/>
          </w:tcPr>
          <w:p w14:paraId="0F40308F"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Austrian Academy of Sciences (Austria)</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2C93A78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378ECE1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FBEAED"/>
            <w:noWrap/>
            <w:vAlign w:val="bottom"/>
            <w:hideMark/>
          </w:tcPr>
          <w:p w14:paraId="7C863A3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0.410</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73A68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0C5017F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3B59C2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57</w:t>
            </w:r>
          </w:p>
        </w:tc>
        <w:tc>
          <w:tcPr>
            <w:tcW w:w="4395" w:type="dxa"/>
            <w:tcBorders>
              <w:top w:val="nil"/>
              <w:left w:val="nil"/>
              <w:bottom w:val="single" w:sz="4" w:space="0" w:color="auto"/>
              <w:right w:val="single" w:sz="4" w:space="0" w:color="auto"/>
            </w:tcBorders>
            <w:noWrap/>
            <w:vAlign w:val="bottom"/>
            <w:hideMark/>
          </w:tcPr>
          <w:p w14:paraId="1935A35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Siemens SRL (Romania)</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39C852F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5522B79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9ACAE"/>
            <w:noWrap/>
            <w:vAlign w:val="bottom"/>
            <w:hideMark/>
          </w:tcPr>
          <w:p w14:paraId="2FE95BF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0.306</w:t>
            </w:r>
          </w:p>
        </w:tc>
        <w:tc>
          <w:tcPr>
            <w:tcW w:w="1133" w:type="dxa"/>
            <w:tcBorders>
              <w:top w:val="single" w:sz="4" w:space="0" w:color="auto"/>
              <w:left w:val="single" w:sz="4" w:space="0" w:color="auto"/>
              <w:bottom w:val="single" w:sz="4" w:space="0" w:color="auto"/>
              <w:right w:val="single" w:sz="4" w:space="0" w:color="auto"/>
            </w:tcBorders>
            <w:shd w:val="clear" w:color="000000" w:fill="F88184"/>
            <w:noWrap/>
            <w:vAlign w:val="bottom"/>
            <w:hideMark/>
          </w:tcPr>
          <w:p w14:paraId="267908B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0F7D249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7B537F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58</w:t>
            </w:r>
          </w:p>
        </w:tc>
        <w:tc>
          <w:tcPr>
            <w:tcW w:w="4395" w:type="dxa"/>
            <w:tcBorders>
              <w:top w:val="nil"/>
              <w:left w:val="nil"/>
              <w:bottom w:val="single" w:sz="4" w:space="0" w:color="auto"/>
              <w:right w:val="single" w:sz="4" w:space="0" w:color="auto"/>
            </w:tcBorders>
            <w:noWrap/>
            <w:vAlign w:val="bottom"/>
            <w:hideMark/>
          </w:tcPr>
          <w:p w14:paraId="7E3231D6"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Technikon Research and Planning Company (Austria)</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66AED6D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5C7549A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F5F8"/>
            <w:noWrap/>
            <w:vAlign w:val="bottom"/>
            <w:hideMark/>
          </w:tcPr>
          <w:p w14:paraId="1A96769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0.430</w:t>
            </w:r>
          </w:p>
        </w:tc>
        <w:tc>
          <w:tcPr>
            <w:tcW w:w="1133" w:type="dxa"/>
            <w:tcBorders>
              <w:top w:val="single" w:sz="4" w:space="0" w:color="auto"/>
              <w:left w:val="single" w:sz="4" w:space="0" w:color="auto"/>
              <w:bottom w:val="single" w:sz="4" w:space="0" w:color="auto"/>
              <w:right w:val="single" w:sz="4" w:space="0" w:color="auto"/>
            </w:tcBorders>
            <w:shd w:val="clear" w:color="000000" w:fill="F99092"/>
            <w:noWrap/>
            <w:vAlign w:val="bottom"/>
            <w:hideMark/>
          </w:tcPr>
          <w:p w14:paraId="194F3A5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4D5BED11"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EF2B08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59</w:t>
            </w:r>
          </w:p>
        </w:tc>
        <w:tc>
          <w:tcPr>
            <w:tcW w:w="4395" w:type="dxa"/>
            <w:tcBorders>
              <w:top w:val="nil"/>
              <w:left w:val="nil"/>
              <w:bottom w:val="single" w:sz="4" w:space="0" w:color="auto"/>
              <w:right w:val="single" w:sz="4" w:space="0" w:color="auto"/>
            </w:tcBorders>
            <w:noWrap/>
            <w:vAlign w:val="bottom"/>
            <w:hideMark/>
          </w:tcPr>
          <w:p w14:paraId="4F6AA01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Orange Romania SA (Romania)</w:t>
            </w:r>
          </w:p>
        </w:tc>
        <w:tc>
          <w:tcPr>
            <w:tcW w:w="992"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488CF1B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6221E56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4969834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0.420</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FDEB1E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3135581B"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AA292A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60</w:t>
            </w:r>
          </w:p>
        </w:tc>
        <w:tc>
          <w:tcPr>
            <w:tcW w:w="4395" w:type="dxa"/>
            <w:tcBorders>
              <w:top w:val="nil"/>
              <w:left w:val="nil"/>
              <w:bottom w:val="single" w:sz="4" w:space="0" w:color="auto"/>
              <w:right w:val="single" w:sz="4" w:space="0" w:color="auto"/>
            </w:tcBorders>
            <w:noWrap/>
            <w:vAlign w:val="bottom"/>
            <w:hideMark/>
          </w:tcPr>
          <w:p w14:paraId="29E0AC3E"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Mercedes-Benz AG (Germany)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B3C9A5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4EFAEBC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22</w:t>
            </w:r>
          </w:p>
        </w:tc>
        <w:tc>
          <w:tcPr>
            <w:tcW w:w="1134" w:type="dxa"/>
            <w:tcBorders>
              <w:top w:val="single" w:sz="4" w:space="0" w:color="auto"/>
              <w:left w:val="single" w:sz="4" w:space="0" w:color="auto"/>
              <w:bottom w:val="single" w:sz="4" w:space="0" w:color="auto"/>
              <w:right w:val="single" w:sz="4" w:space="0" w:color="auto"/>
            </w:tcBorders>
            <w:shd w:val="clear" w:color="000000" w:fill="DBEFE2"/>
            <w:noWrap/>
            <w:vAlign w:val="bottom"/>
            <w:hideMark/>
          </w:tcPr>
          <w:p w14:paraId="0B3507A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0.500</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72F53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7E8BAE7B"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681CE9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61</w:t>
            </w:r>
          </w:p>
        </w:tc>
        <w:tc>
          <w:tcPr>
            <w:tcW w:w="4395" w:type="dxa"/>
            <w:tcBorders>
              <w:top w:val="nil"/>
              <w:left w:val="nil"/>
              <w:bottom w:val="single" w:sz="4" w:space="0" w:color="auto"/>
              <w:right w:val="single" w:sz="4" w:space="0" w:color="auto"/>
            </w:tcBorders>
            <w:noWrap/>
            <w:vAlign w:val="bottom"/>
            <w:hideMark/>
          </w:tcPr>
          <w:p w14:paraId="1CDF34F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TTTech</w:t>
            </w:r>
            <w:proofErr w:type="spellEnd"/>
            <w:r w:rsidRPr="00516C1F">
              <w:rPr>
                <w:rFonts w:eastAsia="Times New Roman" w:cs="Calibri"/>
                <w:color w:val="000000"/>
                <w:kern w:val="0"/>
                <w:sz w:val="16"/>
                <w:szCs w:val="16"/>
                <w:lang w:val="en-GB"/>
                <w14:ligatures w14:val="none"/>
              </w:rPr>
              <w:t xml:space="preserve"> Auto AG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9FFFE3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E3F2EA"/>
            <w:noWrap/>
            <w:vAlign w:val="bottom"/>
            <w:hideMark/>
          </w:tcPr>
          <w:p w14:paraId="2CC7471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20</w:t>
            </w:r>
          </w:p>
        </w:tc>
        <w:tc>
          <w:tcPr>
            <w:tcW w:w="1134"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73FEF40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0.492</w:t>
            </w:r>
          </w:p>
        </w:tc>
        <w:tc>
          <w:tcPr>
            <w:tcW w:w="1133" w:type="dxa"/>
            <w:tcBorders>
              <w:top w:val="single" w:sz="4" w:space="0" w:color="auto"/>
              <w:left w:val="single" w:sz="4" w:space="0" w:color="auto"/>
              <w:bottom w:val="single" w:sz="4" w:space="0" w:color="auto"/>
              <w:right w:val="single" w:sz="4" w:space="0" w:color="auto"/>
            </w:tcBorders>
            <w:shd w:val="clear" w:color="000000" w:fill="FBDBDE"/>
            <w:noWrap/>
            <w:vAlign w:val="bottom"/>
            <w:hideMark/>
          </w:tcPr>
          <w:p w14:paraId="16E5877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5C59747D"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FB1B05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62</w:t>
            </w:r>
          </w:p>
        </w:tc>
        <w:tc>
          <w:tcPr>
            <w:tcW w:w="4395" w:type="dxa"/>
            <w:tcBorders>
              <w:top w:val="nil"/>
              <w:left w:val="nil"/>
              <w:bottom w:val="single" w:sz="4" w:space="0" w:color="auto"/>
              <w:right w:val="single" w:sz="4" w:space="0" w:color="auto"/>
            </w:tcBorders>
            <w:noWrap/>
            <w:vAlign w:val="bottom"/>
            <w:hideMark/>
          </w:tcPr>
          <w:p w14:paraId="6EC73659" w14:textId="77777777" w:rsidR="00A925A3" w:rsidRPr="008D3852" w:rsidRDefault="00A925A3" w:rsidP="00A925A3">
            <w:pPr>
              <w:spacing w:after="0" w:line="240" w:lineRule="auto"/>
              <w:rPr>
                <w:rFonts w:eastAsia="Times New Roman" w:cs="Calibri"/>
                <w:color w:val="000000"/>
                <w:kern w:val="0"/>
                <w:sz w:val="16"/>
                <w:szCs w:val="16"/>
                <w:lang w:val="fr-FR"/>
                <w14:ligatures w14:val="none"/>
              </w:rPr>
            </w:pPr>
            <w:proofErr w:type="spellStart"/>
            <w:r w:rsidRPr="008D3852">
              <w:rPr>
                <w:rFonts w:eastAsia="Times New Roman" w:cs="Calibri"/>
                <w:color w:val="000000"/>
                <w:kern w:val="0"/>
                <w:sz w:val="16"/>
                <w:szCs w:val="16"/>
                <w:lang w:val="fr-FR"/>
                <w14:ligatures w14:val="none"/>
              </w:rPr>
              <w:t>Zentrix</w:t>
            </w:r>
            <w:proofErr w:type="spellEnd"/>
            <w:r w:rsidRPr="008D3852">
              <w:rPr>
                <w:rFonts w:eastAsia="Times New Roman" w:cs="Calibri"/>
                <w:color w:val="000000"/>
                <w:kern w:val="0"/>
                <w:sz w:val="16"/>
                <w:szCs w:val="16"/>
                <w:lang w:val="fr-FR"/>
                <w14:ligatures w14:val="none"/>
              </w:rPr>
              <w:t xml:space="preserve"> </w:t>
            </w:r>
            <w:proofErr w:type="spellStart"/>
            <w:r w:rsidRPr="008D3852">
              <w:rPr>
                <w:rFonts w:eastAsia="Times New Roman" w:cs="Calibri"/>
                <w:color w:val="000000"/>
                <w:kern w:val="0"/>
                <w:sz w:val="16"/>
                <w:szCs w:val="16"/>
                <w:lang w:val="fr-FR"/>
                <w14:ligatures w14:val="none"/>
              </w:rPr>
              <w:t>Lab</w:t>
            </w:r>
            <w:proofErr w:type="spellEnd"/>
            <w:r w:rsidRPr="008D3852">
              <w:rPr>
                <w:rFonts w:eastAsia="Times New Roman" w:cs="Calibri"/>
                <w:color w:val="000000"/>
                <w:kern w:val="0"/>
                <w:sz w:val="16"/>
                <w:szCs w:val="16"/>
                <w:lang w:val="fr-FR"/>
                <w14:ligatures w14:val="none"/>
              </w:rPr>
              <w:t xml:space="preserve"> Ltd. Pančevo (</w:t>
            </w:r>
            <w:proofErr w:type="spellStart"/>
            <w:r w:rsidRPr="008D3852">
              <w:rPr>
                <w:rFonts w:eastAsia="Times New Roman" w:cs="Calibri"/>
                <w:color w:val="000000"/>
                <w:kern w:val="0"/>
                <w:sz w:val="16"/>
                <w:szCs w:val="16"/>
                <w:lang w:val="fr-FR"/>
                <w14:ligatures w14:val="none"/>
              </w:rPr>
              <w:t>Serbia</w:t>
            </w:r>
            <w:proofErr w:type="spellEnd"/>
            <w:r w:rsidRPr="008D3852">
              <w:rPr>
                <w:rFonts w:eastAsia="Times New Roman" w:cs="Calibri"/>
                <w:color w:val="000000"/>
                <w:kern w:val="0"/>
                <w:sz w:val="16"/>
                <w:szCs w:val="16"/>
                <w:lang w:val="fr-FR"/>
                <w14:ligatures w14:val="none"/>
              </w:rPr>
              <w:t>)</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7CE36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312BBB3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75B9B84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0.459</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DFFF7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25A3" w:rsidRPr="00516C1F" w14:paraId="77BBE380"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6ED6D90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63</w:t>
            </w:r>
          </w:p>
        </w:tc>
        <w:tc>
          <w:tcPr>
            <w:tcW w:w="4395" w:type="dxa"/>
            <w:tcBorders>
              <w:top w:val="nil"/>
              <w:left w:val="nil"/>
              <w:bottom w:val="single" w:sz="4" w:space="0" w:color="auto"/>
              <w:right w:val="single" w:sz="4" w:space="0" w:color="auto"/>
            </w:tcBorders>
            <w:noWrap/>
            <w:vAlign w:val="bottom"/>
            <w:hideMark/>
          </w:tcPr>
          <w:p w14:paraId="43506716"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Applied Sciences for Public Service in Bavaria (Germany)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8FA1E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67436F9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AD0D3"/>
            <w:noWrap/>
            <w:vAlign w:val="bottom"/>
            <w:hideMark/>
          </w:tcPr>
          <w:p w14:paraId="211BD45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0.368</w:t>
            </w:r>
          </w:p>
        </w:tc>
        <w:tc>
          <w:tcPr>
            <w:tcW w:w="1133" w:type="dxa"/>
            <w:tcBorders>
              <w:top w:val="single" w:sz="4" w:space="0" w:color="auto"/>
              <w:left w:val="single" w:sz="4" w:space="0" w:color="auto"/>
              <w:bottom w:val="single" w:sz="4" w:space="0" w:color="auto"/>
              <w:right w:val="single" w:sz="4" w:space="0" w:color="auto"/>
            </w:tcBorders>
            <w:shd w:val="clear" w:color="000000" w:fill="F88D8F"/>
            <w:noWrap/>
            <w:vAlign w:val="bottom"/>
            <w:hideMark/>
          </w:tcPr>
          <w:p w14:paraId="43ADA5B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6B44D18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E13AD4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64</w:t>
            </w:r>
          </w:p>
        </w:tc>
        <w:tc>
          <w:tcPr>
            <w:tcW w:w="4395" w:type="dxa"/>
            <w:tcBorders>
              <w:top w:val="nil"/>
              <w:left w:val="nil"/>
              <w:bottom w:val="single" w:sz="4" w:space="0" w:color="auto"/>
              <w:right w:val="single" w:sz="4" w:space="0" w:color="auto"/>
            </w:tcBorders>
            <w:noWrap/>
            <w:vAlign w:val="bottom"/>
            <w:hideMark/>
          </w:tcPr>
          <w:p w14:paraId="53EB0F00"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Elektro </w:t>
            </w:r>
            <w:proofErr w:type="spellStart"/>
            <w:r w:rsidRPr="00516C1F">
              <w:rPr>
                <w:rFonts w:eastAsia="Times New Roman" w:cs="Calibri"/>
                <w:color w:val="000000"/>
                <w:kern w:val="0"/>
                <w:sz w:val="16"/>
                <w:szCs w:val="16"/>
                <w:lang w:val="en-GB"/>
                <w14:ligatures w14:val="none"/>
              </w:rPr>
              <w:t>Celje</w:t>
            </w:r>
            <w:proofErr w:type="spellEnd"/>
            <w:r w:rsidRPr="00516C1F">
              <w:rPr>
                <w:rFonts w:eastAsia="Times New Roman" w:cs="Calibri"/>
                <w:color w:val="000000"/>
                <w:kern w:val="0"/>
                <w:sz w:val="16"/>
                <w:szCs w:val="16"/>
                <w:lang w:val="en-GB"/>
                <w14:ligatures w14:val="none"/>
              </w:rPr>
              <w:t xml:space="preserve"> </w:t>
            </w:r>
            <w:proofErr w:type="spellStart"/>
            <w:r w:rsidRPr="00516C1F">
              <w:rPr>
                <w:rFonts w:eastAsia="Times New Roman" w:cs="Calibri"/>
                <w:color w:val="000000"/>
                <w:kern w:val="0"/>
                <w:sz w:val="16"/>
                <w:szCs w:val="16"/>
                <w:lang w:val="en-GB"/>
                <w14:ligatures w14:val="none"/>
              </w:rPr>
              <w:t>d.d.</w:t>
            </w:r>
            <w:proofErr w:type="spellEnd"/>
            <w:r w:rsidRPr="00516C1F">
              <w:rPr>
                <w:rFonts w:eastAsia="Times New Roman" w:cs="Calibri"/>
                <w:color w:val="000000"/>
                <w:kern w:val="0"/>
                <w:sz w:val="16"/>
                <w:szCs w:val="16"/>
                <w:lang w:val="en-GB"/>
                <w14:ligatures w14:val="none"/>
              </w:rPr>
              <w:t xml:space="preserve"> (Slovenia)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AB523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767E9C7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724564F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0.443</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3F023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25A3" w:rsidRPr="00516C1F" w14:paraId="05918101"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A26B78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65</w:t>
            </w:r>
          </w:p>
        </w:tc>
        <w:tc>
          <w:tcPr>
            <w:tcW w:w="4395" w:type="dxa"/>
            <w:tcBorders>
              <w:top w:val="nil"/>
              <w:left w:val="nil"/>
              <w:bottom w:val="single" w:sz="4" w:space="0" w:color="auto"/>
              <w:right w:val="single" w:sz="4" w:space="0" w:color="auto"/>
            </w:tcBorders>
            <w:noWrap/>
            <w:vAlign w:val="bottom"/>
            <w:hideMark/>
          </w:tcPr>
          <w:p w14:paraId="4A5C8D24"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General Inspectorate of Border Police (Romania)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9F6DA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0E3E75C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BDCDF"/>
            <w:noWrap/>
            <w:vAlign w:val="bottom"/>
            <w:hideMark/>
          </w:tcPr>
          <w:p w14:paraId="0D38885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0.388</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CD43F6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6E79F10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A0EBF6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66</w:t>
            </w:r>
          </w:p>
        </w:tc>
        <w:tc>
          <w:tcPr>
            <w:tcW w:w="4395" w:type="dxa"/>
            <w:tcBorders>
              <w:top w:val="nil"/>
              <w:left w:val="nil"/>
              <w:bottom w:val="single" w:sz="4" w:space="0" w:color="auto"/>
              <w:right w:val="single" w:sz="4" w:space="0" w:color="auto"/>
            </w:tcBorders>
            <w:noWrap/>
            <w:vAlign w:val="bottom"/>
            <w:hideMark/>
          </w:tcPr>
          <w:p w14:paraId="62D0D908"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Konstanz (Germany)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122FE3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367F7CE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7FA"/>
            <w:noWrap/>
            <w:vAlign w:val="bottom"/>
            <w:hideMark/>
          </w:tcPr>
          <w:p w14:paraId="53E7FD4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0.432</w:t>
            </w:r>
          </w:p>
        </w:tc>
        <w:tc>
          <w:tcPr>
            <w:tcW w:w="1133" w:type="dxa"/>
            <w:tcBorders>
              <w:top w:val="single" w:sz="4" w:space="0" w:color="auto"/>
              <w:left w:val="single" w:sz="4" w:space="0" w:color="auto"/>
              <w:bottom w:val="single" w:sz="4" w:space="0" w:color="auto"/>
              <w:right w:val="single" w:sz="4" w:space="0" w:color="auto"/>
            </w:tcBorders>
            <w:shd w:val="clear" w:color="000000" w:fill="F87375"/>
            <w:noWrap/>
            <w:vAlign w:val="bottom"/>
            <w:hideMark/>
          </w:tcPr>
          <w:p w14:paraId="05ECF4D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53C7FF7E"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721D08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67</w:t>
            </w:r>
          </w:p>
        </w:tc>
        <w:tc>
          <w:tcPr>
            <w:tcW w:w="4395" w:type="dxa"/>
            <w:tcBorders>
              <w:top w:val="nil"/>
              <w:left w:val="nil"/>
              <w:bottom w:val="single" w:sz="4" w:space="0" w:color="auto"/>
              <w:right w:val="single" w:sz="4" w:space="0" w:color="auto"/>
            </w:tcBorders>
            <w:noWrap/>
            <w:vAlign w:val="bottom"/>
            <w:hideMark/>
          </w:tcPr>
          <w:p w14:paraId="474A6DB1"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Klagenfurt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D5EE92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0D24674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489BA36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0.438</w:t>
            </w:r>
          </w:p>
        </w:tc>
        <w:tc>
          <w:tcPr>
            <w:tcW w:w="1133" w:type="dxa"/>
            <w:tcBorders>
              <w:top w:val="single" w:sz="4" w:space="0" w:color="auto"/>
              <w:left w:val="single" w:sz="4" w:space="0" w:color="auto"/>
              <w:bottom w:val="single" w:sz="4" w:space="0" w:color="auto"/>
              <w:right w:val="single" w:sz="4" w:space="0" w:color="auto"/>
            </w:tcBorders>
            <w:shd w:val="clear" w:color="000000" w:fill="F88D8F"/>
            <w:noWrap/>
            <w:vAlign w:val="bottom"/>
            <w:hideMark/>
          </w:tcPr>
          <w:p w14:paraId="15D97E1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59CE58F9"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AA1604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68</w:t>
            </w:r>
          </w:p>
        </w:tc>
        <w:tc>
          <w:tcPr>
            <w:tcW w:w="4395" w:type="dxa"/>
            <w:tcBorders>
              <w:top w:val="nil"/>
              <w:left w:val="nil"/>
              <w:bottom w:val="single" w:sz="4" w:space="0" w:color="auto"/>
              <w:right w:val="single" w:sz="4" w:space="0" w:color="auto"/>
            </w:tcBorders>
            <w:noWrap/>
            <w:vAlign w:val="bottom"/>
            <w:hideMark/>
          </w:tcPr>
          <w:p w14:paraId="5BF6BBD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Politehnica</w:t>
            </w:r>
            <w:proofErr w:type="spellEnd"/>
            <w:r w:rsidRPr="00516C1F">
              <w:rPr>
                <w:rFonts w:eastAsia="Times New Roman" w:cs="Calibri"/>
                <w:color w:val="000000"/>
                <w:kern w:val="0"/>
                <w:sz w:val="16"/>
                <w:szCs w:val="16"/>
                <w:lang w:val="en-GB"/>
                <w14:ligatures w14:val="none"/>
              </w:rPr>
              <w:t xml:space="preserve"> University of Bucharest (Romania)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391D8B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2D34A12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1134" w:type="dxa"/>
            <w:tcBorders>
              <w:top w:val="single" w:sz="4" w:space="0" w:color="auto"/>
              <w:left w:val="single" w:sz="4" w:space="0" w:color="auto"/>
              <w:bottom w:val="single" w:sz="4" w:space="0" w:color="auto"/>
              <w:right w:val="single" w:sz="4" w:space="0" w:color="auto"/>
            </w:tcBorders>
            <w:shd w:val="clear" w:color="000000" w:fill="F5F9F9"/>
            <w:noWrap/>
            <w:vAlign w:val="bottom"/>
            <w:hideMark/>
          </w:tcPr>
          <w:p w14:paraId="571639F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0.454</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BB984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27599E10"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C383F9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69</w:t>
            </w:r>
          </w:p>
        </w:tc>
        <w:tc>
          <w:tcPr>
            <w:tcW w:w="4395" w:type="dxa"/>
            <w:tcBorders>
              <w:top w:val="nil"/>
              <w:left w:val="nil"/>
              <w:bottom w:val="single" w:sz="4" w:space="0" w:color="auto"/>
              <w:right w:val="single" w:sz="4" w:space="0" w:color="auto"/>
            </w:tcBorders>
            <w:noWrap/>
            <w:vAlign w:val="bottom"/>
            <w:hideMark/>
          </w:tcPr>
          <w:p w14:paraId="74EC7CB6"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LKR Light Metal Competence </w:t>
            </w:r>
            <w:proofErr w:type="spellStart"/>
            <w:r w:rsidRPr="00516C1F">
              <w:rPr>
                <w:rFonts w:eastAsia="Times New Roman" w:cs="Calibri"/>
                <w:color w:val="000000"/>
                <w:kern w:val="0"/>
                <w:sz w:val="16"/>
                <w:szCs w:val="16"/>
                <w:lang w:val="en-GB"/>
                <w14:ligatures w14:val="none"/>
              </w:rPr>
              <w:t>Center</w:t>
            </w:r>
            <w:proofErr w:type="spellEnd"/>
            <w:r w:rsidRPr="00516C1F">
              <w:rPr>
                <w:rFonts w:eastAsia="Times New Roman" w:cs="Calibri"/>
                <w:color w:val="000000"/>
                <w:kern w:val="0"/>
                <w:sz w:val="16"/>
                <w:szCs w:val="16"/>
                <w:lang w:val="en-GB"/>
                <w14:ligatures w14:val="none"/>
              </w:rPr>
              <w:t xml:space="preserve">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7951C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5C43C65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F3F6"/>
            <w:noWrap/>
            <w:vAlign w:val="bottom"/>
            <w:hideMark/>
          </w:tcPr>
          <w:p w14:paraId="2F1DD40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0.425</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65BB5C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6EFB622"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4118E9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70</w:t>
            </w:r>
          </w:p>
        </w:tc>
        <w:tc>
          <w:tcPr>
            <w:tcW w:w="4395" w:type="dxa"/>
            <w:tcBorders>
              <w:top w:val="nil"/>
              <w:left w:val="nil"/>
              <w:bottom w:val="single" w:sz="4" w:space="0" w:color="auto"/>
              <w:right w:val="single" w:sz="4" w:space="0" w:color="auto"/>
            </w:tcBorders>
            <w:noWrap/>
            <w:vAlign w:val="bottom"/>
            <w:hideMark/>
          </w:tcPr>
          <w:p w14:paraId="2097712D" w14:textId="77777777" w:rsidR="00A925A3" w:rsidRPr="008D3852" w:rsidRDefault="00A925A3" w:rsidP="00A925A3">
            <w:pPr>
              <w:spacing w:after="0" w:line="240" w:lineRule="auto"/>
              <w:rPr>
                <w:rFonts w:eastAsia="Times New Roman" w:cs="Calibri"/>
                <w:color w:val="000000"/>
                <w:kern w:val="0"/>
                <w:sz w:val="16"/>
                <w:szCs w:val="16"/>
                <w:lang w:val="fr-FR"/>
                <w14:ligatures w14:val="none"/>
              </w:rPr>
            </w:pPr>
            <w:proofErr w:type="spellStart"/>
            <w:r w:rsidRPr="008D3852">
              <w:rPr>
                <w:rFonts w:eastAsia="Times New Roman" w:cs="Calibri"/>
                <w:color w:val="000000"/>
                <w:kern w:val="0"/>
                <w:sz w:val="16"/>
                <w:szCs w:val="16"/>
                <w:lang w:val="fr-FR"/>
                <w14:ligatures w14:val="none"/>
              </w:rPr>
              <w:t>Infineon</w:t>
            </w:r>
            <w:proofErr w:type="spellEnd"/>
            <w:r w:rsidRPr="008D3852">
              <w:rPr>
                <w:rFonts w:eastAsia="Times New Roman" w:cs="Calibri"/>
                <w:color w:val="000000"/>
                <w:kern w:val="0"/>
                <w:sz w:val="16"/>
                <w:szCs w:val="16"/>
                <w:lang w:val="fr-FR"/>
                <w14:ligatures w14:val="none"/>
              </w:rPr>
              <w:t xml:space="preserve"> Technologies </w:t>
            </w:r>
            <w:proofErr w:type="spellStart"/>
            <w:r w:rsidRPr="008D3852">
              <w:rPr>
                <w:rFonts w:eastAsia="Times New Roman" w:cs="Calibri"/>
                <w:color w:val="000000"/>
                <w:kern w:val="0"/>
                <w:sz w:val="16"/>
                <w:szCs w:val="16"/>
                <w:lang w:val="fr-FR"/>
                <w14:ligatures w14:val="none"/>
              </w:rPr>
              <w:t>Austria</w:t>
            </w:r>
            <w:proofErr w:type="spellEnd"/>
            <w:r w:rsidRPr="008D3852">
              <w:rPr>
                <w:rFonts w:eastAsia="Times New Roman" w:cs="Calibri"/>
                <w:color w:val="000000"/>
                <w:kern w:val="0"/>
                <w:sz w:val="16"/>
                <w:szCs w:val="16"/>
                <w:lang w:val="fr-FR"/>
                <w14:ligatures w14:val="none"/>
              </w:rPr>
              <w:t xml:space="preserve"> AG (</w:t>
            </w:r>
            <w:proofErr w:type="spellStart"/>
            <w:r w:rsidRPr="008D3852">
              <w:rPr>
                <w:rFonts w:eastAsia="Times New Roman" w:cs="Calibri"/>
                <w:color w:val="000000"/>
                <w:kern w:val="0"/>
                <w:sz w:val="16"/>
                <w:szCs w:val="16"/>
                <w:lang w:val="fr-FR"/>
                <w14:ligatures w14:val="none"/>
              </w:rPr>
              <w:t>Austria</w:t>
            </w:r>
            <w:proofErr w:type="spellEnd"/>
            <w:r w:rsidRPr="008D3852">
              <w:rPr>
                <w:rFonts w:eastAsia="Times New Roman" w:cs="Calibri"/>
                <w:color w:val="000000"/>
                <w:kern w:val="0"/>
                <w:sz w:val="16"/>
                <w:szCs w:val="16"/>
                <w:lang w:val="fr-FR"/>
                <w14:ligatures w14:val="none"/>
              </w:rPr>
              <w:t>)</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CDD81A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08C4716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1134"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733F9F6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0.467</w:t>
            </w:r>
          </w:p>
        </w:tc>
        <w:tc>
          <w:tcPr>
            <w:tcW w:w="1133"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6AD2756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0.010</w:t>
            </w:r>
          </w:p>
        </w:tc>
      </w:tr>
      <w:tr w:rsidR="00A925A3" w:rsidRPr="00516C1F" w14:paraId="605B06F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52B009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71</w:t>
            </w:r>
          </w:p>
        </w:tc>
        <w:tc>
          <w:tcPr>
            <w:tcW w:w="4395" w:type="dxa"/>
            <w:tcBorders>
              <w:top w:val="nil"/>
              <w:left w:val="nil"/>
              <w:bottom w:val="single" w:sz="4" w:space="0" w:color="auto"/>
              <w:right w:val="single" w:sz="4" w:space="0" w:color="auto"/>
            </w:tcBorders>
            <w:noWrap/>
            <w:vAlign w:val="bottom"/>
            <w:hideMark/>
          </w:tcPr>
          <w:p w14:paraId="6DC3145F"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Fortiss</w:t>
            </w:r>
            <w:proofErr w:type="spellEnd"/>
            <w:r w:rsidRPr="00516C1F">
              <w:rPr>
                <w:rFonts w:eastAsia="Times New Roman" w:cs="Calibri"/>
                <w:color w:val="000000"/>
                <w:kern w:val="0"/>
                <w:sz w:val="16"/>
                <w:szCs w:val="16"/>
                <w:lang w:val="en-GB"/>
                <w14:ligatures w14:val="none"/>
              </w:rPr>
              <w:t xml:space="preserve"> GmbH (Germany)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FF1671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1B0CAA7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BD9DC"/>
            <w:noWrap/>
            <w:vAlign w:val="bottom"/>
            <w:hideMark/>
          </w:tcPr>
          <w:p w14:paraId="4FF420E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0.382</w:t>
            </w:r>
          </w:p>
        </w:tc>
        <w:tc>
          <w:tcPr>
            <w:tcW w:w="1133" w:type="dxa"/>
            <w:tcBorders>
              <w:top w:val="single" w:sz="4" w:space="0" w:color="auto"/>
              <w:left w:val="single" w:sz="4" w:space="0" w:color="auto"/>
              <w:bottom w:val="single" w:sz="4" w:space="0" w:color="auto"/>
              <w:right w:val="single" w:sz="4" w:space="0" w:color="auto"/>
            </w:tcBorders>
            <w:shd w:val="clear" w:color="000000" w:fill="F87375"/>
            <w:noWrap/>
            <w:vAlign w:val="bottom"/>
            <w:hideMark/>
          </w:tcPr>
          <w:p w14:paraId="639EDB9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63195C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F2847F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72</w:t>
            </w:r>
          </w:p>
        </w:tc>
        <w:tc>
          <w:tcPr>
            <w:tcW w:w="4395" w:type="dxa"/>
            <w:tcBorders>
              <w:top w:val="nil"/>
              <w:left w:val="nil"/>
              <w:bottom w:val="single" w:sz="4" w:space="0" w:color="auto"/>
              <w:right w:val="single" w:sz="4" w:space="0" w:color="auto"/>
            </w:tcBorders>
            <w:noWrap/>
            <w:vAlign w:val="bottom"/>
            <w:hideMark/>
          </w:tcPr>
          <w:p w14:paraId="675EAF91"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K3Y (Bulgaria)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8234C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3C2F8DB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C2C4"/>
            <w:noWrap/>
            <w:vAlign w:val="bottom"/>
            <w:hideMark/>
          </w:tcPr>
          <w:p w14:paraId="075D3E2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0.343</w:t>
            </w:r>
          </w:p>
        </w:tc>
        <w:tc>
          <w:tcPr>
            <w:tcW w:w="1133" w:type="dxa"/>
            <w:tcBorders>
              <w:top w:val="single" w:sz="4" w:space="0" w:color="auto"/>
              <w:left w:val="single" w:sz="4" w:space="0" w:color="auto"/>
              <w:bottom w:val="single" w:sz="4" w:space="0" w:color="auto"/>
              <w:right w:val="single" w:sz="4" w:space="0" w:color="auto"/>
            </w:tcBorders>
            <w:shd w:val="clear" w:color="000000" w:fill="F88688"/>
            <w:noWrap/>
            <w:vAlign w:val="bottom"/>
            <w:hideMark/>
          </w:tcPr>
          <w:p w14:paraId="1F26951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DBA8E96"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74BBCA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73</w:t>
            </w:r>
          </w:p>
        </w:tc>
        <w:tc>
          <w:tcPr>
            <w:tcW w:w="4395" w:type="dxa"/>
            <w:tcBorders>
              <w:top w:val="nil"/>
              <w:left w:val="nil"/>
              <w:bottom w:val="single" w:sz="4" w:space="0" w:color="auto"/>
              <w:right w:val="single" w:sz="4" w:space="0" w:color="auto"/>
            </w:tcBorders>
            <w:noWrap/>
            <w:vAlign w:val="bottom"/>
            <w:hideMark/>
          </w:tcPr>
          <w:p w14:paraId="0F90FF7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Elektro Ljubljana </w:t>
            </w:r>
            <w:proofErr w:type="spellStart"/>
            <w:r w:rsidRPr="00516C1F">
              <w:rPr>
                <w:rFonts w:eastAsia="Times New Roman" w:cs="Calibri"/>
                <w:color w:val="000000"/>
                <w:kern w:val="0"/>
                <w:sz w:val="16"/>
                <w:szCs w:val="16"/>
                <w:lang w:val="en-GB"/>
                <w14:ligatures w14:val="none"/>
              </w:rPr>
              <w:t>d.d.</w:t>
            </w:r>
            <w:proofErr w:type="spellEnd"/>
            <w:r w:rsidRPr="00516C1F">
              <w:rPr>
                <w:rFonts w:eastAsia="Times New Roman" w:cs="Calibri"/>
                <w:color w:val="000000"/>
                <w:kern w:val="0"/>
                <w:sz w:val="16"/>
                <w:szCs w:val="16"/>
                <w:lang w:val="en-GB"/>
                <w14:ligatures w14:val="none"/>
              </w:rPr>
              <w:t xml:space="preserve"> (Slovenia)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A5B69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5BE0A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17C6604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0.449</w:t>
            </w:r>
          </w:p>
        </w:tc>
        <w:tc>
          <w:tcPr>
            <w:tcW w:w="1133"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3068561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0.017</w:t>
            </w:r>
          </w:p>
        </w:tc>
      </w:tr>
      <w:tr w:rsidR="00A925A3" w:rsidRPr="00516C1F" w14:paraId="7D59ADB9"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8FCE41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74</w:t>
            </w:r>
          </w:p>
        </w:tc>
        <w:tc>
          <w:tcPr>
            <w:tcW w:w="4395" w:type="dxa"/>
            <w:tcBorders>
              <w:top w:val="nil"/>
              <w:left w:val="nil"/>
              <w:bottom w:val="single" w:sz="4" w:space="0" w:color="auto"/>
              <w:right w:val="single" w:sz="4" w:space="0" w:color="auto"/>
            </w:tcBorders>
            <w:noWrap/>
            <w:vAlign w:val="bottom"/>
            <w:hideMark/>
          </w:tcPr>
          <w:p w14:paraId="48C7FB4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Intel Deutschland GmbH (Germany)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AFFF5B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0881366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1134" w:type="dxa"/>
            <w:tcBorders>
              <w:top w:val="single" w:sz="4" w:space="0" w:color="auto"/>
              <w:left w:val="single" w:sz="4" w:space="0" w:color="auto"/>
              <w:bottom w:val="single" w:sz="4" w:space="0" w:color="auto"/>
              <w:right w:val="single" w:sz="4" w:space="0" w:color="auto"/>
            </w:tcBorders>
            <w:shd w:val="clear" w:color="000000" w:fill="F5FAF9"/>
            <w:noWrap/>
            <w:vAlign w:val="bottom"/>
            <w:hideMark/>
          </w:tcPr>
          <w:p w14:paraId="6011FD7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0.452</w:t>
            </w:r>
          </w:p>
        </w:tc>
        <w:tc>
          <w:tcPr>
            <w:tcW w:w="1133"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2D35A07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0.019</w:t>
            </w:r>
          </w:p>
        </w:tc>
      </w:tr>
      <w:tr w:rsidR="00A925A3" w:rsidRPr="00516C1F" w14:paraId="18FC3B61"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746A90C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75</w:t>
            </w:r>
          </w:p>
        </w:tc>
        <w:tc>
          <w:tcPr>
            <w:tcW w:w="4395" w:type="dxa"/>
            <w:tcBorders>
              <w:top w:val="nil"/>
              <w:left w:val="nil"/>
              <w:bottom w:val="single" w:sz="4" w:space="0" w:color="auto"/>
              <w:right w:val="single" w:sz="4" w:space="0" w:color="auto"/>
            </w:tcBorders>
            <w:noWrap/>
            <w:vAlign w:val="bottom"/>
            <w:hideMark/>
          </w:tcPr>
          <w:p w14:paraId="37405ABD"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Zagreb, Faculty of Electrical Engineering and Computing (Croatia)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AE5CCA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1CE984F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59E4D6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0.440</w:t>
            </w:r>
          </w:p>
        </w:tc>
        <w:tc>
          <w:tcPr>
            <w:tcW w:w="1133" w:type="dxa"/>
            <w:tcBorders>
              <w:top w:val="single" w:sz="4" w:space="0" w:color="auto"/>
              <w:left w:val="single" w:sz="4" w:space="0" w:color="auto"/>
              <w:bottom w:val="single" w:sz="4" w:space="0" w:color="auto"/>
              <w:right w:val="single" w:sz="4" w:space="0" w:color="auto"/>
            </w:tcBorders>
            <w:shd w:val="clear" w:color="000000" w:fill="F8878A"/>
            <w:noWrap/>
            <w:vAlign w:val="bottom"/>
            <w:hideMark/>
          </w:tcPr>
          <w:p w14:paraId="650C03D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13526258"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F7EBDC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76</w:t>
            </w:r>
          </w:p>
        </w:tc>
        <w:tc>
          <w:tcPr>
            <w:tcW w:w="4395" w:type="dxa"/>
            <w:tcBorders>
              <w:top w:val="nil"/>
              <w:left w:val="nil"/>
              <w:bottom w:val="single" w:sz="4" w:space="0" w:color="auto"/>
              <w:right w:val="single" w:sz="4" w:space="0" w:color="auto"/>
            </w:tcBorders>
            <w:noWrap/>
            <w:vAlign w:val="bottom"/>
            <w:hideMark/>
          </w:tcPr>
          <w:p w14:paraId="5C431DF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Siemens AG Austria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5E22A3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207A0F0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059FE00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0.464</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61624DE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0.007</w:t>
            </w:r>
          </w:p>
        </w:tc>
      </w:tr>
      <w:tr w:rsidR="00A925A3" w:rsidRPr="00516C1F" w14:paraId="4F244F9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A9386E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77</w:t>
            </w:r>
          </w:p>
        </w:tc>
        <w:tc>
          <w:tcPr>
            <w:tcW w:w="4395" w:type="dxa"/>
            <w:tcBorders>
              <w:top w:val="nil"/>
              <w:left w:val="nil"/>
              <w:bottom w:val="single" w:sz="4" w:space="0" w:color="auto"/>
              <w:right w:val="single" w:sz="4" w:space="0" w:color="auto"/>
            </w:tcBorders>
            <w:noWrap/>
            <w:vAlign w:val="bottom"/>
            <w:hideMark/>
          </w:tcPr>
          <w:p w14:paraId="68AA7FC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Eötvös Loránd University (Hungary)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FF5539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3195386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44A0976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0.464</w:t>
            </w:r>
          </w:p>
        </w:tc>
        <w:tc>
          <w:tcPr>
            <w:tcW w:w="1133" w:type="dxa"/>
            <w:tcBorders>
              <w:top w:val="single" w:sz="4" w:space="0" w:color="auto"/>
              <w:left w:val="single" w:sz="4" w:space="0" w:color="auto"/>
              <w:bottom w:val="single" w:sz="4" w:space="0" w:color="auto"/>
              <w:right w:val="single" w:sz="4" w:space="0" w:color="auto"/>
            </w:tcBorders>
            <w:shd w:val="clear" w:color="000000" w:fill="FBFCFF"/>
            <w:noWrap/>
            <w:vAlign w:val="bottom"/>
            <w:hideMark/>
          </w:tcPr>
          <w:p w14:paraId="5FDD7D7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25A3" w:rsidRPr="00516C1F" w14:paraId="3FD95B25"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F0F627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78</w:t>
            </w:r>
          </w:p>
        </w:tc>
        <w:tc>
          <w:tcPr>
            <w:tcW w:w="4395" w:type="dxa"/>
            <w:tcBorders>
              <w:top w:val="nil"/>
              <w:left w:val="nil"/>
              <w:bottom w:val="single" w:sz="4" w:space="0" w:color="auto"/>
              <w:right w:val="single" w:sz="4" w:space="0" w:color="auto"/>
            </w:tcBorders>
            <w:noWrap/>
            <w:vAlign w:val="bottom"/>
            <w:hideMark/>
          </w:tcPr>
          <w:p w14:paraId="4C41A262"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Medical Centre Maribor (Slovenia)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FF6F0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3E5443A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41B52AA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0.370</w:t>
            </w:r>
          </w:p>
        </w:tc>
        <w:tc>
          <w:tcPr>
            <w:tcW w:w="1133" w:type="dxa"/>
            <w:tcBorders>
              <w:top w:val="single" w:sz="4" w:space="0" w:color="auto"/>
              <w:left w:val="single" w:sz="4" w:space="0" w:color="auto"/>
              <w:bottom w:val="single" w:sz="4" w:space="0" w:color="auto"/>
              <w:right w:val="single" w:sz="4" w:space="0" w:color="auto"/>
            </w:tcBorders>
            <w:shd w:val="clear" w:color="000000" w:fill="F99A9C"/>
            <w:noWrap/>
            <w:vAlign w:val="bottom"/>
            <w:hideMark/>
          </w:tcPr>
          <w:p w14:paraId="5E32043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1FD455A5"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08A831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79</w:t>
            </w:r>
          </w:p>
        </w:tc>
        <w:tc>
          <w:tcPr>
            <w:tcW w:w="4395" w:type="dxa"/>
            <w:tcBorders>
              <w:top w:val="nil"/>
              <w:left w:val="nil"/>
              <w:bottom w:val="single" w:sz="4" w:space="0" w:color="auto"/>
              <w:right w:val="single" w:sz="4" w:space="0" w:color="auto"/>
            </w:tcBorders>
            <w:noWrap/>
            <w:vAlign w:val="bottom"/>
            <w:hideMark/>
          </w:tcPr>
          <w:p w14:paraId="2CD4E63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ICLEI European Secretariat (Germany)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90E7C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1817C92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D1D4"/>
            <w:noWrap/>
            <w:vAlign w:val="bottom"/>
            <w:hideMark/>
          </w:tcPr>
          <w:p w14:paraId="638CC8B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0.369</w:t>
            </w:r>
          </w:p>
        </w:tc>
        <w:tc>
          <w:tcPr>
            <w:tcW w:w="1133" w:type="dxa"/>
            <w:tcBorders>
              <w:top w:val="single" w:sz="4" w:space="0" w:color="auto"/>
              <w:left w:val="single" w:sz="4" w:space="0" w:color="auto"/>
              <w:bottom w:val="single" w:sz="4" w:space="0" w:color="auto"/>
              <w:right w:val="single" w:sz="4" w:space="0" w:color="auto"/>
            </w:tcBorders>
            <w:shd w:val="clear" w:color="000000" w:fill="FABBBE"/>
            <w:noWrap/>
            <w:vAlign w:val="bottom"/>
            <w:hideMark/>
          </w:tcPr>
          <w:p w14:paraId="2AFBFAE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776B2D0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FE64E7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80</w:t>
            </w:r>
          </w:p>
        </w:tc>
        <w:tc>
          <w:tcPr>
            <w:tcW w:w="4395" w:type="dxa"/>
            <w:tcBorders>
              <w:top w:val="nil"/>
              <w:left w:val="nil"/>
              <w:bottom w:val="single" w:sz="4" w:space="0" w:color="auto"/>
              <w:right w:val="single" w:sz="4" w:space="0" w:color="auto"/>
            </w:tcBorders>
            <w:noWrap/>
            <w:vAlign w:val="bottom"/>
            <w:hideMark/>
          </w:tcPr>
          <w:p w14:paraId="315E106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Mihajlo Pupin Institute (Serbia)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0A887C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C6DABE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9AEB1"/>
            <w:noWrap/>
            <w:vAlign w:val="bottom"/>
            <w:hideMark/>
          </w:tcPr>
          <w:p w14:paraId="7668386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0.311</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49707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0B2DAD82"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5AC976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81</w:t>
            </w:r>
          </w:p>
        </w:tc>
        <w:tc>
          <w:tcPr>
            <w:tcW w:w="4395" w:type="dxa"/>
            <w:tcBorders>
              <w:top w:val="nil"/>
              <w:left w:val="nil"/>
              <w:bottom w:val="single" w:sz="4" w:space="0" w:color="auto"/>
              <w:right w:val="single" w:sz="4" w:space="0" w:color="auto"/>
            </w:tcBorders>
            <w:noWrap/>
            <w:vAlign w:val="bottom"/>
            <w:hideMark/>
          </w:tcPr>
          <w:p w14:paraId="293832B1"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CEU GmbH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FD6A9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73EF2F3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39F2733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0.424</w:t>
            </w:r>
          </w:p>
        </w:tc>
        <w:tc>
          <w:tcPr>
            <w:tcW w:w="1133" w:type="dxa"/>
            <w:tcBorders>
              <w:top w:val="single" w:sz="4" w:space="0" w:color="auto"/>
              <w:left w:val="single" w:sz="4" w:space="0" w:color="auto"/>
              <w:bottom w:val="single" w:sz="4" w:space="0" w:color="auto"/>
              <w:right w:val="single" w:sz="4" w:space="0" w:color="auto"/>
            </w:tcBorders>
            <w:shd w:val="clear" w:color="000000" w:fill="F87375"/>
            <w:noWrap/>
            <w:vAlign w:val="bottom"/>
            <w:hideMark/>
          </w:tcPr>
          <w:p w14:paraId="253C08E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09E09D00"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265FAD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82</w:t>
            </w:r>
          </w:p>
        </w:tc>
        <w:tc>
          <w:tcPr>
            <w:tcW w:w="4395" w:type="dxa"/>
            <w:tcBorders>
              <w:top w:val="nil"/>
              <w:left w:val="nil"/>
              <w:bottom w:val="single" w:sz="4" w:space="0" w:color="auto"/>
              <w:right w:val="single" w:sz="4" w:space="0" w:color="auto"/>
            </w:tcBorders>
            <w:noWrap/>
            <w:vAlign w:val="bottom"/>
            <w:hideMark/>
          </w:tcPr>
          <w:p w14:paraId="4D53EC4E"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Czech University of Life Sciences Prague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9D582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5A4BDEF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B624F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0.194</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B4F32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5A0ABAF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08F3B23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83</w:t>
            </w:r>
          </w:p>
        </w:tc>
        <w:tc>
          <w:tcPr>
            <w:tcW w:w="4395" w:type="dxa"/>
            <w:tcBorders>
              <w:top w:val="nil"/>
              <w:left w:val="nil"/>
              <w:bottom w:val="single" w:sz="4" w:space="0" w:color="auto"/>
              <w:right w:val="single" w:sz="4" w:space="0" w:color="auto"/>
            </w:tcBorders>
            <w:noWrap/>
            <w:vAlign w:val="bottom"/>
            <w:hideMark/>
          </w:tcPr>
          <w:p w14:paraId="080897B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Institute of Science and Technology Austria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CB0EFA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3AE64E3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305302C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0.435</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B9D3BC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00F5910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8B4BEF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84</w:t>
            </w:r>
          </w:p>
        </w:tc>
        <w:tc>
          <w:tcPr>
            <w:tcW w:w="4395" w:type="dxa"/>
            <w:tcBorders>
              <w:top w:val="nil"/>
              <w:left w:val="nil"/>
              <w:bottom w:val="single" w:sz="4" w:space="0" w:color="auto"/>
              <w:right w:val="single" w:sz="4" w:space="0" w:color="auto"/>
            </w:tcBorders>
            <w:noWrap/>
            <w:vAlign w:val="bottom"/>
            <w:hideMark/>
          </w:tcPr>
          <w:p w14:paraId="790E42D8"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ZF Friedrichshafen AG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3275F1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0878C51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1134" w:type="dxa"/>
            <w:tcBorders>
              <w:top w:val="single" w:sz="4" w:space="0" w:color="auto"/>
              <w:left w:val="single" w:sz="4" w:space="0" w:color="auto"/>
              <w:bottom w:val="single" w:sz="4" w:space="0" w:color="auto"/>
              <w:right w:val="single" w:sz="4" w:space="0" w:color="auto"/>
            </w:tcBorders>
            <w:shd w:val="clear" w:color="000000" w:fill="EAF5F0"/>
            <w:noWrap/>
            <w:vAlign w:val="bottom"/>
            <w:hideMark/>
          </w:tcPr>
          <w:p w14:paraId="1C2E9A6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0.472</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2E5B24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599549B3"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7CAAD8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85</w:t>
            </w:r>
          </w:p>
        </w:tc>
        <w:tc>
          <w:tcPr>
            <w:tcW w:w="4395" w:type="dxa"/>
            <w:tcBorders>
              <w:top w:val="nil"/>
              <w:left w:val="nil"/>
              <w:bottom w:val="single" w:sz="4" w:space="0" w:color="auto"/>
              <w:right w:val="single" w:sz="4" w:space="0" w:color="auto"/>
            </w:tcBorders>
            <w:noWrap/>
            <w:vAlign w:val="bottom"/>
            <w:hideMark/>
          </w:tcPr>
          <w:p w14:paraId="6571413B" w14:textId="77777777" w:rsidR="00A925A3" w:rsidRPr="008D3852" w:rsidRDefault="00A925A3" w:rsidP="00A925A3">
            <w:pPr>
              <w:spacing w:after="0" w:line="240" w:lineRule="auto"/>
              <w:rPr>
                <w:rFonts w:eastAsia="Times New Roman" w:cs="Calibri"/>
                <w:color w:val="000000"/>
                <w:kern w:val="0"/>
                <w:sz w:val="16"/>
                <w:szCs w:val="16"/>
                <w:lang w:val="fr-FR"/>
                <w14:ligatures w14:val="none"/>
              </w:rPr>
            </w:pPr>
            <w:r w:rsidRPr="008D3852">
              <w:rPr>
                <w:rFonts w:eastAsia="Times New Roman" w:cs="Calibri"/>
                <w:color w:val="000000"/>
                <w:kern w:val="0"/>
                <w:sz w:val="16"/>
                <w:szCs w:val="16"/>
                <w:lang w:val="fr-FR"/>
                <w14:ligatures w14:val="none"/>
              </w:rPr>
              <w:t xml:space="preserve">Ultraviolet Consult </w:t>
            </w:r>
            <w:proofErr w:type="spellStart"/>
            <w:r w:rsidRPr="008D3852">
              <w:rPr>
                <w:rFonts w:eastAsia="Times New Roman" w:cs="Calibri"/>
                <w:color w:val="000000"/>
                <w:kern w:val="0"/>
                <w:sz w:val="16"/>
                <w:szCs w:val="16"/>
                <w:lang w:val="fr-FR"/>
                <w14:ligatures w14:val="none"/>
              </w:rPr>
              <w:t>d.o.o</w:t>
            </w:r>
            <w:proofErr w:type="spellEnd"/>
            <w:r w:rsidRPr="008D3852">
              <w:rPr>
                <w:rFonts w:eastAsia="Times New Roman" w:cs="Calibri"/>
                <w:color w:val="000000"/>
                <w:kern w:val="0"/>
                <w:sz w:val="16"/>
                <w:szCs w:val="16"/>
                <w:lang w:val="fr-FR"/>
                <w14:ligatures w14:val="none"/>
              </w:rPr>
              <w:t>. (</w:t>
            </w:r>
            <w:proofErr w:type="spellStart"/>
            <w:r w:rsidRPr="008D3852">
              <w:rPr>
                <w:rFonts w:eastAsia="Times New Roman" w:cs="Calibri"/>
                <w:color w:val="000000"/>
                <w:kern w:val="0"/>
                <w:sz w:val="16"/>
                <w:szCs w:val="16"/>
                <w:lang w:val="fr-FR"/>
                <w14:ligatures w14:val="none"/>
              </w:rPr>
              <w:t>Serbia</w:t>
            </w:r>
            <w:proofErr w:type="spellEnd"/>
            <w:r w:rsidRPr="008D3852">
              <w:rPr>
                <w:rFonts w:eastAsia="Times New Roman" w:cs="Calibri"/>
                <w:color w:val="000000"/>
                <w:kern w:val="0"/>
                <w:sz w:val="16"/>
                <w:szCs w:val="16"/>
                <w:lang w:val="fr-FR"/>
                <w14:ligatures w14:val="none"/>
              </w:rPr>
              <w:t>)</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E06A8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7063545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2DA7A09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0.443</w:t>
            </w:r>
          </w:p>
        </w:tc>
        <w:tc>
          <w:tcPr>
            <w:tcW w:w="1133" w:type="dxa"/>
            <w:tcBorders>
              <w:top w:val="single" w:sz="4" w:space="0" w:color="auto"/>
              <w:left w:val="single" w:sz="4" w:space="0" w:color="auto"/>
              <w:bottom w:val="single" w:sz="4" w:space="0" w:color="auto"/>
              <w:right w:val="single" w:sz="4" w:space="0" w:color="auto"/>
            </w:tcBorders>
            <w:shd w:val="clear" w:color="000000" w:fill="F9A9AC"/>
            <w:noWrap/>
            <w:vAlign w:val="bottom"/>
            <w:hideMark/>
          </w:tcPr>
          <w:p w14:paraId="12C98F9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5881C1AC"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F392F5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86</w:t>
            </w:r>
          </w:p>
        </w:tc>
        <w:tc>
          <w:tcPr>
            <w:tcW w:w="4395" w:type="dxa"/>
            <w:tcBorders>
              <w:top w:val="nil"/>
              <w:left w:val="nil"/>
              <w:bottom w:val="single" w:sz="4" w:space="0" w:color="auto"/>
              <w:right w:val="single" w:sz="4" w:space="0" w:color="auto"/>
            </w:tcBorders>
            <w:noWrap/>
            <w:vAlign w:val="bottom"/>
            <w:hideMark/>
          </w:tcPr>
          <w:p w14:paraId="5FD927B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LMU University Hospital Munich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8D589E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2317FE0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6A79BC6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0.443</w:t>
            </w:r>
          </w:p>
        </w:tc>
        <w:tc>
          <w:tcPr>
            <w:tcW w:w="1133" w:type="dxa"/>
            <w:tcBorders>
              <w:top w:val="single" w:sz="4" w:space="0" w:color="auto"/>
              <w:left w:val="single" w:sz="4" w:space="0" w:color="auto"/>
              <w:bottom w:val="single" w:sz="4" w:space="0" w:color="auto"/>
              <w:right w:val="single" w:sz="4" w:space="0" w:color="auto"/>
            </w:tcBorders>
            <w:shd w:val="clear" w:color="000000" w:fill="F87375"/>
            <w:noWrap/>
            <w:vAlign w:val="bottom"/>
            <w:hideMark/>
          </w:tcPr>
          <w:p w14:paraId="5B3D44B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598E5A4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04EFCF3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87</w:t>
            </w:r>
          </w:p>
        </w:tc>
        <w:tc>
          <w:tcPr>
            <w:tcW w:w="4395" w:type="dxa"/>
            <w:tcBorders>
              <w:top w:val="nil"/>
              <w:left w:val="nil"/>
              <w:bottom w:val="single" w:sz="4" w:space="0" w:color="auto"/>
              <w:right w:val="single" w:sz="4" w:space="0" w:color="auto"/>
            </w:tcBorders>
            <w:noWrap/>
            <w:vAlign w:val="bottom"/>
            <w:hideMark/>
          </w:tcPr>
          <w:p w14:paraId="7EEDEBE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FZI Research </w:t>
            </w:r>
            <w:proofErr w:type="spellStart"/>
            <w:r w:rsidRPr="00516C1F">
              <w:rPr>
                <w:rFonts w:eastAsia="Times New Roman" w:cs="Calibri"/>
                <w:color w:val="000000"/>
                <w:kern w:val="0"/>
                <w:sz w:val="16"/>
                <w:szCs w:val="16"/>
                <w:lang w:val="en-GB"/>
                <w14:ligatures w14:val="none"/>
              </w:rPr>
              <w:t>Center</w:t>
            </w:r>
            <w:proofErr w:type="spellEnd"/>
            <w:r w:rsidRPr="00516C1F">
              <w:rPr>
                <w:rFonts w:eastAsia="Times New Roman" w:cs="Calibri"/>
                <w:color w:val="000000"/>
                <w:kern w:val="0"/>
                <w:sz w:val="16"/>
                <w:szCs w:val="16"/>
                <w:lang w:val="en-GB"/>
                <w14:ligatures w14:val="none"/>
              </w:rPr>
              <w:t xml:space="preserve"> for Information Technology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88055E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DDF0E4"/>
            <w:noWrap/>
            <w:vAlign w:val="bottom"/>
            <w:hideMark/>
          </w:tcPr>
          <w:p w14:paraId="3E6CA6A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23</w:t>
            </w:r>
          </w:p>
        </w:tc>
        <w:tc>
          <w:tcPr>
            <w:tcW w:w="1134" w:type="dxa"/>
            <w:tcBorders>
              <w:top w:val="single" w:sz="4" w:space="0" w:color="auto"/>
              <w:left w:val="single" w:sz="4" w:space="0" w:color="auto"/>
              <w:bottom w:val="single" w:sz="4" w:space="0" w:color="auto"/>
              <w:right w:val="single" w:sz="4" w:space="0" w:color="auto"/>
            </w:tcBorders>
            <w:shd w:val="clear" w:color="000000" w:fill="E0F1E7"/>
            <w:noWrap/>
            <w:vAlign w:val="bottom"/>
            <w:hideMark/>
          </w:tcPr>
          <w:p w14:paraId="694355A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0.490</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5739A57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0.006</w:t>
            </w:r>
          </w:p>
        </w:tc>
      </w:tr>
      <w:tr w:rsidR="00A925A3" w:rsidRPr="00516C1F" w14:paraId="7469BF12"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4529C2D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88</w:t>
            </w:r>
          </w:p>
        </w:tc>
        <w:tc>
          <w:tcPr>
            <w:tcW w:w="4395" w:type="dxa"/>
            <w:tcBorders>
              <w:top w:val="nil"/>
              <w:left w:val="nil"/>
              <w:bottom w:val="single" w:sz="4" w:space="0" w:color="auto"/>
              <w:right w:val="single" w:sz="4" w:space="0" w:color="auto"/>
            </w:tcBorders>
            <w:noWrap/>
            <w:vAlign w:val="bottom"/>
            <w:hideMark/>
          </w:tcPr>
          <w:p w14:paraId="6E24674D"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HUN-REN Institute for Computer Science and Automation (Hungary)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9BF3D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4AE5D36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DDE0"/>
            <w:noWrap/>
            <w:vAlign w:val="bottom"/>
            <w:hideMark/>
          </w:tcPr>
          <w:p w14:paraId="6DECB40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0.389</w:t>
            </w:r>
          </w:p>
        </w:tc>
        <w:tc>
          <w:tcPr>
            <w:tcW w:w="1133" w:type="dxa"/>
            <w:tcBorders>
              <w:top w:val="single" w:sz="4" w:space="0" w:color="auto"/>
              <w:left w:val="single" w:sz="4" w:space="0" w:color="auto"/>
              <w:bottom w:val="single" w:sz="4" w:space="0" w:color="auto"/>
              <w:right w:val="single" w:sz="4" w:space="0" w:color="auto"/>
            </w:tcBorders>
            <w:shd w:val="clear" w:color="000000" w:fill="F99C9F"/>
            <w:noWrap/>
            <w:vAlign w:val="bottom"/>
            <w:hideMark/>
          </w:tcPr>
          <w:p w14:paraId="2CC3F3B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73F087C6"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7D3FE9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lastRenderedPageBreak/>
              <w:t>89</w:t>
            </w:r>
          </w:p>
        </w:tc>
        <w:tc>
          <w:tcPr>
            <w:tcW w:w="4395" w:type="dxa"/>
            <w:tcBorders>
              <w:top w:val="nil"/>
              <w:left w:val="nil"/>
              <w:bottom w:val="single" w:sz="4" w:space="0" w:color="auto"/>
              <w:right w:val="single" w:sz="4" w:space="0" w:color="auto"/>
            </w:tcBorders>
            <w:noWrap/>
            <w:vAlign w:val="bottom"/>
            <w:hideMark/>
          </w:tcPr>
          <w:p w14:paraId="3ADAB3CF"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NXP Semiconductors Austria GmbH &amp; Co KG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330D49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EEF7F3"/>
            <w:noWrap/>
            <w:vAlign w:val="bottom"/>
            <w:hideMark/>
          </w:tcPr>
          <w:p w14:paraId="33581D7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EBF5F1"/>
            <w:noWrap/>
            <w:vAlign w:val="bottom"/>
            <w:hideMark/>
          </w:tcPr>
          <w:p w14:paraId="566E2C4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0.471</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A56A6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25A3" w:rsidRPr="00516C1F" w14:paraId="3961CB2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D95AF4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90</w:t>
            </w:r>
          </w:p>
        </w:tc>
        <w:tc>
          <w:tcPr>
            <w:tcW w:w="4395" w:type="dxa"/>
            <w:tcBorders>
              <w:top w:val="nil"/>
              <w:left w:val="nil"/>
              <w:bottom w:val="single" w:sz="4" w:space="0" w:color="auto"/>
              <w:right w:val="single" w:sz="4" w:space="0" w:color="auto"/>
            </w:tcBorders>
            <w:noWrap/>
            <w:vAlign w:val="bottom"/>
            <w:hideMark/>
          </w:tcPr>
          <w:p w14:paraId="227192C1"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Semmelweis University (Hungary)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A17C1D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7C752D9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3664342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0.370</w:t>
            </w:r>
          </w:p>
        </w:tc>
        <w:tc>
          <w:tcPr>
            <w:tcW w:w="1133" w:type="dxa"/>
            <w:tcBorders>
              <w:top w:val="single" w:sz="4" w:space="0" w:color="auto"/>
              <w:left w:val="single" w:sz="4" w:space="0" w:color="auto"/>
              <w:bottom w:val="single" w:sz="4" w:space="0" w:color="auto"/>
              <w:right w:val="single" w:sz="4" w:space="0" w:color="auto"/>
            </w:tcBorders>
            <w:shd w:val="clear" w:color="000000" w:fill="F87C7E"/>
            <w:noWrap/>
            <w:vAlign w:val="bottom"/>
            <w:hideMark/>
          </w:tcPr>
          <w:p w14:paraId="3D31C51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6961902E"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7BC91C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91</w:t>
            </w:r>
          </w:p>
        </w:tc>
        <w:tc>
          <w:tcPr>
            <w:tcW w:w="4395" w:type="dxa"/>
            <w:tcBorders>
              <w:top w:val="nil"/>
              <w:left w:val="nil"/>
              <w:bottom w:val="single" w:sz="4" w:space="0" w:color="auto"/>
              <w:right w:val="single" w:sz="4" w:space="0" w:color="auto"/>
            </w:tcBorders>
            <w:noWrap/>
            <w:vAlign w:val="bottom"/>
            <w:hideMark/>
          </w:tcPr>
          <w:p w14:paraId="183178FB" w14:textId="77777777" w:rsidR="00A925A3" w:rsidRPr="008D3852" w:rsidRDefault="00A925A3" w:rsidP="00A925A3">
            <w:pPr>
              <w:spacing w:after="0" w:line="240" w:lineRule="auto"/>
              <w:rPr>
                <w:rFonts w:eastAsia="Times New Roman" w:cs="Calibri"/>
                <w:color w:val="000000"/>
                <w:kern w:val="0"/>
                <w:sz w:val="16"/>
                <w:szCs w:val="16"/>
                <w:lang w:val="fr-FR"/>
                <w14:ligatures w14:val="none"/>
              </w:rPr>
            </w:pPr>
            <w:r w:rsidRPr="008D3852">
              <w:rPr>
                <w:rFonts w:eastAsia="Times New Roman" w:cs="Calibri"/>
                <w:color w:val="000000"/>
                <w:kern w:val="0"/>
                <w:sz w:val="16"/>
                <w:szCs w:val="16"/>
                <w:lang w:val="fr-FR"/>
                <w14:ligatures w14:val="none"/>
              </w:rPr>
              <w:t xml:space="preserve">Alpine Quantum Technologies </w:t>
            </w:r>
            <w:proofErr w:type="spellStart"/>
            <w:r w:rsidRPr="008D3852">
              <w:rPr>
                <w:rFonts w:eastAsia="Times New Roman" w:cs="Calibri"/>
                <w:color w:val="000000"/>
                <w:kern w:val="0"/>
                <w:sz w:val="16"/>
                <w:szCs w:val="16"/>
                <w:lang w:val="fr-FR"/>
                <w14:ligatures w14:val="none"/>
              </w:rPr>
              <w:t>GmbH</w:t>
            </w:r>
            <w:proofErr w:type="spellEnd"/>
            <w:r w:rsidRPr="008D3852">
              <w:rPr>
                <w:rFonts w:eastAsia="Times New Roman" w:cs="Calibri"/>
                <w:color w:val="000000"/>
                <w:kern w:val="0"/>
                <w:sz w:val="16"/>
                <w:szCs w:val="16"/>
                <w:lang w:val="fr-FR"/>
                <w14:ligatures w14:val="none"/>
              </w:rPr>
              <w:t xml:space="preserve"> (</w:t>
            </w:r>
            <w:proofErr w:type="spellStart"/>
            <w:r w:rsidRPr="008D3852">
              <w:rPr>
                <w:rFonts w:eastAsia="Times New Roman" w:cs="Calibri"/>
                <w:color w:val="000000"/>
                <w:kern w:val="0"/>
                <w:sz w:val="16"/>
                <w:szCs w:val="16"/>
                <w:lang w:val="fr-FR"/>
                <w14:ligatures w14:val="none"/>
              </w:rPr>
              <w:t>Austria</w:t>
            </w:r>
            <w:proofErr w:type="spellEnd"/>
            <w:r w:rsidRPr="008D3852">
              <w:rPr>
                <w:rFonts w:eastAsia="Times New Roman" w:cs="Calibri"/>
                <w:color w:val="000000"/>
                <w:kern w:val="0"/>
                <w:sz w:val="16"/>
                <w:szCs w:val="16"/>
                <w:lang w:val="fr-FR"/>
                <w14:ligatures w14:val="none"/>
              </w:rPr>
              <w:t>)</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CFAE80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00A56E1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BEBEE"/>
            <w:noWrap/>
            <w:vAlign w:val="bottom"/>
            <w:hideMark/>
          </w:tcPr>
          <w:p w14:paraId="657DAF7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0.413</w:t>
            </w:r>
          </w:p>
        </w:tc>
        <w:tc>
          <w:tcPr>
            <w:tcW w:w="1133" w:type="dxa"/>
            <w:tcBorders>
              <w:top w:val="single" w:sz="4" w:space="0" w:color="auto"/>
              <w:left w:val="single" w:sz="4" w:space="0" w:color="auto"/>
              <w:bottom w:val="single" w:sz="4" w:space="0" w:color="auto"/>
              <w:right w:val="single" w:sz="4" w:space="0" w:color="auto"/>
            </w:tcBorders>
            <w:shd w:val="clear" w:color="000000" w:fill="F8888A"/>
            <w:noWrap/>
            <w:vAlign w:val="bottom"/>
            <w:hideMark/>
          </w:tcPr>
          <w:p w14:paraId="21C04D4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516C3D79"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EE52A6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92</w:t>
            </w:r>
          </w:p>
        </w:tc>
        <w:tc>
          <w:tcPr>
            <w:tcW w:w="4395" w:type="dxa"/>
            <w:tcBorders>
              <w:top w:val="nil"/>
              <w:left w:val="nil"/>
              <w:bottom w:val="single" w:sz="4" w:space="0" w:color="auto"/>
              <w:right w:val="single" w:sz="4" w:space="0" w:color="auto"/>
            </w:tcBorders>
            <w:noWrap/>
            <w:vAlign w:val="bottom"/>
            <w:hideMark/>
          </w:tcPr>
          <w:p w14:paraId="189958C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Leoben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EFF1E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092037C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w:t>
            </w:r>
          </w:p>
        </w:tc>
        <w:tc>
          <w:tcPr>
            <w:tcW w:w="1134" w:type="dxa"/>
            <w:tcBorders>
              <w:top w:val="single" w:sz="4" w:space="0" w:color="auto"/>
              <w:left w:val="single" w:sz="4" w:space="0" w:color="auto"/>
              <w:bottom w:val="single" w:sz="4" w:space="0" w:color="auto"/>
              <w:right w:val="single" w:sz="4" w:space="0" w:color="auto"/>
            </w:tcBorders>
            <w:shd w:val="clear" w:color="000000" w:fill="FBEDF0"/>
            <w:noWrap/>
            <w:vAlign w:val="bottom"/>
            <w:hideMark/>
          </w:tcPr>
          <w:p w14:paraId="3408E01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0.416</w:t>
            </w:r>
          </w:p>
        </w:tc>
        <w:tc>
          <w:tcPr>
            <w:tcW w:w="1133" w:type="dxa"/>
            <w:tcBorders>
              <w:top w:val="single" w:sz="4" w:space="0" w:color="auto"/>
              <w:left w:val="single" w:sz="4" w:space="0" w:color="auto"/>
              <w:bottom w:val="single" w:sz="4" w:space="0" w:color="auto"/>
              <w:right w:val="single" w:sz="4" w:space="0" w:color="auto"/>
            </w:tcBorders>
            <w:shd w:val="clear" w:color="000000" w:fill="FABFC2"/>
            <w:noWrap/>
            <w:vAlign w:val="bottom"/>
            <w:hideMark/>
          </w:tcPr>
          <w:p w14:paraId="538932B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4811299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07F295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93</w:t>
            </w:r>
          </w:p>
        </w:tc>
        <w:tc>
          <w:tcPr>
            <w:tcW w:w="4395" w:type="dxa"/>
            <w:tcBorders>
              <w:top w:val="nil"/>
              <w:left w:val="nil"/>
              <w:bottom w:val="single" w:sz="4" w:space="0" w:color="auto"/>
              <w:right w:val="single" w:sz="4" w:space="0" w:color="auto"/>
            </w:tcBorders>
            <w:noWrap/>
            <w:vAlign w:val="bottom"/>
            <w:hideMark/>
          </w:tcPr>
          <w:p w14:paraId="6962CFE4"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Institute of Microelectronic Applications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ECE486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EEF7F3"/>
            <w:noWrap/>
            <w:vAlign w:val="bottom"/>
            <w:hideMark/>
          </w:tcPr>
          <w:p w14:paraId="1ABB6FF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EBF5F1"/>
            <w:noWrap/>
            <w:vAlign w:val="bottom"/>
            <w:hideMark/>
          </w:tcPr>
          <w:p w14:paraId="23C2BEC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0.471</w:t>
            </w:r>
          </w:p>
        </w:tc>
        <w:tc>
          <w:tcPr>
            <w:tcW w:w="1133"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011CC72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0EFB323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5755A7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94</w:t>
            </w:r>
          </w:p>
        </w:tc>
        <w:tc>
          <w:tcPr>
            <w:tcW w:w="4395" w:type="dxa"/>
            <w:tcBorders>
              <w:top w:val="nil"/>
              <w:left w:val="nil"/>
              <w:bottom w:val="single" w:sz="4" w:space="0" w:color="auto"/>
              <w:right w:val="single" w:sz="4" w:space="0" w:color="auto"/>
            </w:tcBorders>
            <w:noWrap/>
            <w:vAlign w:val="bottom"/>
            <w:hideMark/>
          </w:tcPr>
          <w:p w14:paraId="121BD5DB"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Ludwig Boltzmann Society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E7F17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6D28852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7FA"/>
            <w:noWrap/>
            <w:vAlign w:val="bottom"/>
            <w:hideMark/>
          </w:tcPr>
          <w:p w14:paraId="4689183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0.432</w:t>
            </w:r>
          </w:p>
        </w:tc>
        <w:tc>
          <w:tcPr>
            <w:tcW w:w="1133" w:type="dxa"/>
            <w:tcBorders>
              <w:top w:val="single" w:sz="4" w:space="0" w:color="auto"/>
              <w:left w:val="single" w:sz="4" w:space="0" w:color="auto"/>
              <w:bottom w:val="single" w:sz="4" w:space="0" w:color="auto"/>
              <w:right w:val="single" w:sz="4" w:space="0" w:color="auto"/>
            </w:tcBorders>
            <w:shd w:val="clear" w:color="000000" w:fill="F87A7C"/>
            <w:noWrap/>
            <w:vAlign w:val="bottom"/>
            <w:hideMark/>
          </w:tcPr>
          <w:p w14:paraId="1472B0F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7EA5A691"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5C357C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95</w:t>
            </w:r>
          </w:p>
        </w:tc>
        <w:tc>
          <w:tcPr>
            <w:tcW w:w="4395" w:type="dxa"/>
            <w:tcBorders>
              <w:top w:val="nil"/>
              <w:left w:val="nil"/>
              <w:bottom w:val="single" w:sz="4" w:space="0" w:color="auto"/>
              <w:right w:val="single" w:sz="4" w:space="0" w:color="auto"/>
            </w:tcBorders>
            <w:noWrap/>
            <w:vAlign w:val="bottom"/>
            <w:hideMark/>
          </w:tcPr>
          <w:p w14:paraId="420C472A"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Amibit</w:t>
            </w:r>
            <w:proofErr w:type="spellEnd"/>
            <w:r w:rsidRPr="00516C1F">
              <w:rPr>
                <w:rFonts w:eastAsia="Times New Roman" w:cs="Calibri"/>
                <w:color w:val="000000"/>
                <w:kern w:val="0"/>
                <w:sz w:val="16"/>
                <w:szCs w:val="16"/>
                <w:lang w:val="en-GB"/>
                <w14:ligatures w14:val="none"/>
              </w:rPr>
              <w:t xml:space="preserve">, </w:t>
            </w:r>
            <w:proofErr w:type="spellStart"/>
            <w:r w:rsidRPr="00516C1F">
              <w:rPr>
                <w:rFonts w:eastAsia="Times New Roman" w:cs="Calibri"/>
                <w:color w:val="000000"/>
                <w:kern w:val="0"/>
                <w:sz w:val="16"/>
                <w:szCs w:val="16"/>
                <w:lang w:val="en-GB"/>
                <w14:ligatures w14:val="none"/>
              </w:rPr>
              <w:t>energetski</w:t>
            </w:r>
            <w:proofErr w:type="spellEnd"/>
            <w:r w:rsidRPr="00516C1F">
              <w:rPr>
                <w:rFonts w:eastAsia="Times New Roman" w:cs="Calibri"/>
                <w:color w:val="000000"/>
                <w:kern w:val="0"/>
                <w:sz w:val="16"/>
                <w:szCs w:val="16"/>
                <w:lang w:val="en-GB"/>
                <w14:ligatures w14:val="none"/>
              </w:rPr>
              <w:t xml:space="preserve"> </w:t>
            </w:r>
            <w:proofErr w:type="spellStart"/>
            <w:r w:rsidRPr="00516C1F">
              <w:rPr>
                <w:rFonts w:eastAsia="Times New Roman" w:cs="Calibri"/>
                <w:color w:val="000000"/>
                <w:kern w:val="0"/>
                <w:sz w:val="16"/>
                <w:szCs w:val="16"/>
                <w:lang w:val="en-GB"/>
                <w14:ligatures w14:val="none"/>
              </w:rPr>
              <w:t>sistemi</w:t>
            </w:r>
            <w:proofErr w:type="spellEnd"/>
            <w:r w:rsidRPr="00516C1F">
              <w:rPr>
                <w:rFonts w:eastAsia="Times New Roman" w:cs="Calibri"/>
                <w:color w:val="000000"/>
                <w:kern w:val="0"/>
                <w:sz w:val="16"/>
                <w:szCs w:val="16"/>
                <w:lang w:val="en-GB"/>
                <w14:ligatures w14:val="none"/>
              </w:rPr>
              <w:t>, d.o.o.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12DB1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A6CE4F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FBEBED"/>
            <w:noWrap/>
            <w:vAlign w:val="bottom"/>
            <w:hideMark/>
          </w:tcPr>
          <w:p w14:paraId="2E98B44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0.412</w:t>
            </w:r>
          </w:p>
        </w:tc>
        <w:tc>
          <w:tcPr>
            <w:tcW w:w="1133" w:type="dxa"/>
            <w:tcBorders>
              <w:top w:val="single" w:sz="4" w:space="0" w:color="auto"/>
              <w:left w:val="single" w:sz="4" w:space="0" w:color="auto"/>
              <w:bottom w:val="single" w:sz="4" w:space="0" w:color="auto"/>
              <w:right w:val="single" w:sz="4" w:space="0" w:color="auto"/>
            </w:tcBorders>
            <w:shd w:val="clear" w:color="000000" w:fill="FBFAFC"/>
            <w:noWrap/>
            <w:vAlign w:val="bottom"/>
            <w:hideMark/>
          </w:tcPr>
          <w:p w14:paraId="33487B0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73CA7A1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3F40AC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96</w:t>
            </w:r>
          </w:p>
        </w:tc>
        <w:tc>
          <w:tcPr>
            <w:tcW w:w="4395" w:type="dxa"/>
            <w:tcBorders>
              <w:top w:val="nil"/>
              <w:left w:val="nil"/>
              <w:bottom w:val="single" w:sz="4" w:space="0" w:color="auto"/>
              <w:right w:val="single" w:sz="4" w:space="0" w:color="auto"/>
            </w:tcBorders>
            <w:noWrap/>
            <w:vAlign w:val="bottom"/>
            <w:hideMark/>
          </w:tcPr>
          <w:p w14:paraId="344D4E2E"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Capgemini Engineering Deutschland SAS &amp; Co KG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BCF9C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30C8051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04771D9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0.420</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8B7F1F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75810F5E"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9BA39F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97</w:t>
            </w:r>
          </w:p>
        </w:tc>
        <w:tc>
          <w:tcPr>
            <w:tcW w:w="4395" w:type="dxa"/>
            <w:tcBorders>
              <w:top w:val="nil"/>
              <w:left w:val="nil"/>
              <w:bottom w:val="single" w:sz="4" w:space="0" w:color="auto"/>
              <w:right w:val="single" w:sz="4" w:space="0" w:color="auto"/>
            </w:tcBorders>
            <w:noWrap/>
            <w:vAlign w:val="bottom"/>
            <w:hideMark/>
          </w:tcPr>
          <w:p w14:paraId="384DA2F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European Institute for Biomedical Imaging Research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5711A4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2F0A9D2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453C400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0.428</w:t>
            </w:r>
          </w:p>
        </w:tc>
        <w:tc>
          <w:tcPr>
            <w:tcW w:w="1133" w:type="dxa"/>
            <w:tcBorders>
              <w:top w:val="single" w:sz="4" w:space="0" w:color="auto"/>
              <w:left w:val="single" w:sz="4" w:space="0" w:color="auto"/>
              <w:bottom w:val="single" w:sz="4" w:space="0" w:color="auto"/>
              <w:right w:val="single" w:sz="4" w:space="0" w:color="auto"/>
            </w:tcBorders>
            <w:shd w:val="clear" w:color="000000" w:fill="F86D6F"/>
            <w:noWrap/>
            <w:vAlign w:val="bottom"/>
            <w:hideMark/>
          </w:tcPr>
          <w:p w14:paraId="337047D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7C7A828F"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3378A8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98</w:t>
            </w:r>
          </w:p>
        </w:tc>
        <w:tc>
          <w:tcPr>
            <w:tcW w:w="4395" w:type="dxa"/>
            <w:tcBorders>
              <w:top w:val="nil"/>
              <w:left w:val="nil"/>
              <w:bottom w:val="single" w:sz="4" w:space="0" w:color="auto"/>
              <w:right w:val="single" w:sz="4" w:space="0" w:color="auto"/>
            </w:tcBorders>
            <w:noWrap/>
            <w:vAlign w:val="bottom"/>
            <w:hideMark/>
          </w:tcPr>
          <w:p w14:paraId="34CB1160"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Consolinno</w:t>
            </w:r>
            <w:proofErr w:type="spellEnd"/>
            <w:r w:rsidRPr="00516C1F">
              <w:rPr>
                <w:rFonts w:eastAsia="Times New Roman" w:cs="Calibri"/>
                <w:color w:val="000000"/>
                <w:kern w:val="0"/>
                <w:sz w:val="16"/>
                <w:szCs w:val="16"/>
                <w:lang w:val="en-GB"/>
                <w14:ligatures w14:val="none"/>
              </w:rPr>
              <w:t xml:space="preserve"> Energy GmbH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6654B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EEF7F3"/>
            <w:noWrap/>
            <w:vAlign w:val="bottom"/>
            <w:hideMark/>
          </w:tcPr>
          <w:p w14:paraId="09CD875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FBE7EA"/>
            <w:noWrap/>
            <w:vAlign w:val="bottom"/>
            <w:hideMark/>
          </w:tcPr>
          <w:p w14:paraId="2CCED75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0.405</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6274B2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0.004</w:t>
            </w:r>
          </w:p>
        </w:tc>
      </w:tr>
      <w:tr w:rsidR="00A925A3" w:rsidRPr="00516C1F" w14:paraId="17A8162B"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02EFAA0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99</w:t>
            </w:r>
          </w:p>
        </w:tc>
        <w:tc>
          <w:tcPr>
            <w:tcW w:w="4395" w:type="dxa"/>
            <w:tcBorders>
              <w:top w:val="nil"/>
              <w:left w:val="nil"/>
              <w:bottom w:val="single" w:sz="4" w:space="0" w:color="auto"/>
              <w:right w:val="single" w:sz="4" w:space="0" w:color="auto"/>
            </w:tcBorders>
            <w:noWrap/>
            <w:vAlign w:val="bottom"/>
            <w:hideMark/>
          </w:tcPr>
          <w:p w14:paraId="3F5A8E9B"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Carol Davila University of Medicine and Pharmacy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01DB5C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5ED2E86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AC8CB"/>
            <w:noWrap/>
            <w:vAlign w:val="bottom"/>
            <w:hideMark/>
          </w:tcPr>
          <w:p w14:paraId="5C2BC80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0.354</w:t>
            </w:r>
          </w:p>
        </w:tc>
        <w:tc>
          <w:tcPr>
            <w:tcW w:w="1133" w:type="dxa"/>
            <w:tcBorders>
              <w:top w:val="single" w:sz="4" w:space="0" w:color="auto"/>
              <w:left w:val="single" w:sz="4" w:space="0" w:color="auto"/>
              <w:bottom w:val="single" w:sz="4" w:space="0" w:color="auto"/>
              <w:right w:val="single" w:sz="4" w:space="0" w:color="auto"/>
            </w:tcBorders>
            <w:shd w:val="clear" w:color="000000" w:fill="F9989B"/>
            <w:noWrap/>
            <w:vAlign w:val="bottom"/>
            <w:hideMark/>
          </w:tcPr>
          <w:p w14:paraId="16A6CA3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5BE995FA"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6672AF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100</w:t>
            </w:r>
          </w:p>
        </w:tc>
        <w:tc>
          <w:tcPr>
            <w:tcW w:w="4395" w:type="dxa"/>
            <w:tcBorders>
              <w:top w:val="nil"/>
              <w:left w:val="nil"/>
              <w:bottom w:val="single" w:sz="4" w:space="0" w:color="auto"/>
              <w:right w:val="single" w:sz="4" w:space="0" w:color="auto"/>
            </w:tcBorders>
            <w:noWrap/>
            <w:vAlign w:val="bottom"/>
            <w:hideMark/>
          </w:tcPr>
          <w:p w14:paraId="5EE81A2C"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Bucharest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940FF0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1D84586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793F5AD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0.370</w:t>
            </w:r>
          </w:p>
        </w:tc>
        <w:tc>
          <w:tcPr>
            <w:tcW w:w="1133" w:type="dxa"/>
            <w:tcBorders>
              <w:top w:val="single" w:sz="4" w:space="0" w:color="auto"/>
              <w:left w:val="single" w:sz="4" w:space="0" w:color="auto"/>
              <w:bottom w:val="single" w:sz="4" w:space="0" w:color="auto"/>
              <w:right w:val="single" w:sz="4" w:space="0" w:color="auto"/>
            </w:tcBorders>
            <w:shd w:val="clear" w:color="000000" w:fill="F86B6D"/>
            <w:noWrap/>
            <w:vAlign w:val="bottom"/>
            <w:hideMark/>
          </w:tcPr>
          <w:p w14:paraId="0E8D405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0C79F50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B2B924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101</w:t>
            </w:r>
          </w:p>
        </w:tc>
        <w:tc>
          <w:tcPr>
            <w:tcW w:w="4395" w:type="dxa"/>
            <w:tcBorders>
              <w:top w:val="nil"/>
              <w:left w:val="nil"/>
              <w:bottom w:val="single" w:sz="4" w:space="0" w:color="auto"/>
              <w:right w:val="single" w:sz="4" w:space="0" w:color="auto"/>
            </w:tcBorders>
            <w:noWrap/>
            <w:vAlign w:val="bottom"/>
            <w:hideMark/>
          </w:tcPr>
          <w:p w14:paraId="419699CF"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Sofia University St. Kliment </w:t>
            </w:r>
            <w:proofErr w:type="spellStart"/>
            <w:r w:rsidRPr="00516C1F">
              <w:rPr>
                <w:rFonts w:eastAsia="Times New Roman" w:cs="Calibri"/>
                <w:color w:val="000000"/>
                <w:kern w:val="0"/>
                <w:sz w:val="16"/>
                <w:szCs w:val="16"/>
                <w:lang w:val="en-GB"/>
                <w14:ligatures w14:val="none"/>
              </w:rPr>
              <w:t>Ohridski</w:t>
            </w:r>
            <w:proofErr w:type="spellEnd"/>
            <w:r w:rsidRPr="00516C1F">
              <w:rPr>
                <w:rFonts w:eastAsia="Times New Roman" w:cs="Calibri"/>
                <w:color w:val="000000"/>
                <w:kern w:val="0"/>
                <w:sz w:val="16"/>
                <w:szCs w:val="16"/>
                <w:lang w:val="en-GB"/>
                <w14:ligatures w14:val="none"/>
              </w:rPr>
              <w:t xml:space="preserve"> (Bulgaria)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9977E0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53C9C41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7E750E2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0.434</w:t>
            </w:r>
          </w:p>
        </w:tc>
        <w:tc>
          <w:tcPr>
            <w:tcW w:w="1133" w:type="dxa"/>
            <w:tcBorders>
              <w:top w:val="single" w:sz="4" w:space="0" w:color="auto"/>
              <w:left w:val="single" w:sz="4" w:space="0" w:color="auto"/>
              <w:bottom w:val="single" w:sz="4" w:space="0" w:color="auto"/>
              <w:right w:val="single" w:sz="4" w:space="0" w:color="auto"/>
            </w:tcBorders>
            <w:shd w:val="clear" w:color="000000" w:fill="FBE1E4"/>
            <w:noWrap/>
            <w:vAlign w:val="bottom"/>
            <w:hideMark/>
          </w:tcPr>
          <w:p w14:paraId="6BADFAC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18EFA313"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DB95CC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102</w:t>
            </w:r>
          </w:p>
        </w:tc>
        <w:tc>
          <w:tcPr>
            <w:tcW w:w="4395" w:type="dxa"/>
            <w:tcBorders>
              <w:top w:val="nil"/>
              <w:left w:val="nil"/>
              <w:bottom w:val="single" w:sz="4" w:space="0" w:color="auto"/>
              <w:right w:val="single" w:sz="4" w:space="0" w:color="auto"/>
            </w:tcBorders>
            <w:noWrap/>
            <w:vAlign w:val="bottom"/>
            <w:hideMark/>
          </w:tcPr>
          <w:p w14:paraId="0B289B88"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Codasip</w:t>
            </w:r>
            <w:proofErr w:type="spellEnd"/>
            <w:r w:rsidRPr="00516C1F">
              <w:rPr>
                <w:rFonts w:eastAsia="Times New Roman" w:cs="Calibri"/>
                <w:color w:val="000000"/>
                <w:kern w:val="0"/>
                <w:sz w:val="16"/>
                <w:szCs w:val="16"/>
                <w:lang w:val="en-GB"/>
                <w14:ligatures w14:val="none"/>
              </w:rPr>
              <w:t xml:space="preserve"> </w:t>
            </w:r>
            <w:proofErr w:type="spellStart"/>
            <w:r w:rsidRPr="00516C1F">
              <w:rPr>
                <w:rFonts w:eastAsia="Times New Roman" w:cs="Calibri"/>
                <w:color w:val="000000"/>
                <w:kern w:val="0"/>
                <w:sz w:val="16"/>
                <w:szCs w:val="16"/>
                <w:lang w:val="en-GB"/>
                <w14:ligatures w14:val="none"/>
              </w:rPr>
              <w:t>s.r.o.</w:t>
            </w:r>
            <w:proofErr w:type="spellEnd"/>
            <w:r w:rsidRPr="00516C1F">
              <w:rPr>
                <w:rFonts w:eastAsia="Times New Roman" w:cs="Calibri"/>
                <w:color w:val="000000"/>
                <w:kern w:val="0"/>
                <w:sz w:val="16"/>
                <w:szCs w:val="16"/>
                <w:lang w:val="en-GB"/>
                <w14:ligatures w14:val="none"/>
              </w:rPr>
              <w:t xml:space="preserve">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FE3591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3FDDB96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1134" w:type="dxa"/>
            <w:tcBorders>
              <w:top w:val="single" w:sz="4" w:space="0" w:color="auto"/>
              <w:left w:val="single" w:sz="4" w:space="0" w:color="auto"/>
              <w:bottom w:val="single" w:sz="4" w:space="0" w:color="auto"/>
              <w:right w:val="single" w:sz="4" w:space="0" w:color="auto"/>
            </w:tcBorders>
            <w:shd w:val="clear" w:color="000000" w:fill="FBEAED"/>
            <w:noWrap/>
            <w:vAlign w:val="bottom"/>
            <w:hideMark/>
          </w:tcPr>
          <w:p w14:paraId="381E431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0.410</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FFA1D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531AEBA2"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C4FC2C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103</w:t>
            </w:r>
          </w:p>
        </w:tc>
        <w:tc>
          <w:tcPr>
            <w:tcW w:w="4395" w:type="dxa"/>
            <w:tcBorders>
              <w:top w:val="nil"/>
              <w:left w:val="nil"/>
              <w:bottom w:val="single" w:sz="4" w:space="0" w:color="auto"/>
              <w:right w:val="single" w:sz="4" w:space="0" w:color="auto"/>
            </w:tcBorders>
            <w:noWrap/>
            <w:vAlign w:val="bottom"/>
            <w:hideMark/>
          </w:tcPr>
          <w:p w14:paraId="5AF032F2"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webLyzard</w:t>
            </w:r>
            <w:proofErr w:type="spellEnd"/>
            <w:r w:rsidRPr="00516C1F">
              <w:rPr>
                <w:rFonts w:eastAsia="Times New Roman" w:cs="Calibri"/>
                <w:color w:val="000000"/>
                <w:kern w:val="0"/>
                <w:sz w:val="16"/>
                <w:szCs w:val="16"/>
                <w:lang w:val="en-GB"/>
                <w14:ligatures w14:val="none"/>
              </w:rPr>
              <w:t xml:space="preserve"> technology GmbH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DF41E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EF052D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9AFB2"/>
            <w:noWrap/>
            <w:vAlign w:val="bottom"/>
            <w:hideMark/>
          </w:tcPr>
          <w:p w14:paraId="74A81CE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0.312</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06AFA8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7C798B4"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4ACE7BC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104</w:t>
            </w:r>
          </w:p>
        </w:tc>
        <w:tc>
          <w:tcPr>
            <w:tcW w:w="4395" w:type="dxa"/>
            <w:tcBorders>
              <w:top w:val="nil"/>
              <w:left w:val="nil"/>
              <w:bottom w:val="single" w:sz="4" w:space="0" w:color="auto"/>
              <w:right w:val="single" w:sz="4" w:space="0" w:color="auto"/>
            </w:tcBorders>
            <w:noWrap/>
            <w:vAlign w:val="bottom"/>
            <w:hideMark/>
          </w:tcPr>
          <w:p w14:paraId="6E7001B2"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ELES d.o.o., Operator of the Combined Transmission and Distribution Electricity Network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9FDF98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7F5AB79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5641E5E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0.448</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91CFAA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5E31744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F39FD4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105</w:t>
            </w:r>
          </w:p>
        </w:tc>
        <w:tc>
          <w:tcPr>
            <w:tcW w:w="4395" w:type="dxa"/>
            <w:tcBorders>
              <w:top w:val="nil"/>
              <w:left w:val="nil"/>
              <w:bottom w:val="single" w:sz="4" w:space="0" w:color="auto"/>
              <w:right w:val="single" w:sz="4" w:space="0" w:color="auto"/>
            </w:tcBorders>
            <w:noWrap/>
            <w:vAlign w:val="bottom"/>
            <w:hideMark/>
          </w:tcPr>
          <w:p w14:paraId="5EB7002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Ontotext</w:t>
            </w:r>
            <w:proofErr w:type="spellEnd"/>
            <w:r w:rsidRPr="00516C1F">
              <w:rPr>
                <w:rFonts w:eastAsia="Times New Roman" w:cs="Calibri"/>
                <w:color w:val="000000"/>
                <w:kern w:val="0"/>
                <w:sz w:val="16"/>
                <w:szCs w:val="16"/>
                <w:lang w:val="en-GB"/>
                <w14:ligatures w14:val="none"/>
              </w:rPr>
              <w:t xml:space="preserve"> AD (Bulgaria)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8DFD8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E7E9"/>
            <w:noWrap/>
            <w:vAlign w:val="bottom"/>
            <w:hideMark/>
          </w:tcPr>
          <w:p w14:paraId="3B44460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453FBC3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0.444</w:t>
            </w:r>
          </w:p>
        </w:tc>
        <w:tc>
          <w:tcPr>
            <w:tcW w:w="1133" w:type="dxa"/>
            <w:tcBorders>
              <w:top w:val="single" w:sz="4" w:space="0" w:color="auto"/>
              <w:left w:val="single" w:sz="4" w:space="0" w:color="auto"/>
              <w:bottom w:val="single" w:sz="4" w:space="0" w:color="auto"/>
              <w:right w:val="single" w:sz="4" w:space="0" w:color="auto"/>
            </w:tcBorders>
            <w:shd w:val="clear" w:color="000000" w:fill="FBECEF"/>
            <w:noWrap/>
            <w:vAlign w:val="bottom"/>
            <w:hideMark/>
          </w:tcPr>
          <w:p w14:paraId="3925120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77DBC371"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A46AA8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106</w:t>
            </w:r>
          </w:p>
        </w:tc>
        <w:tc>
          <w:tcPr>
            <w:tcW w:w="4395" w:type="dxa"/>
            <w:tcBorders>
              <w:top w:val="nil"/>
              <w:left w:val="nil"/>
              <w:bottom w:val="single" w:sz="4" w:space="0" w:color="auto"/>
              <w:right w:val="single" w:sz="4" w:space="0" w:color="auto"/>
            </w:tcBorders>
            <w:noWrap/>
            <w:vAlign w:val="bottom"/>
            <w:hideMark/>
          </w:tcPr>
          <w:p w14:paraId="7409A621"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Steinbeis</w:t>
            </w:r>
            <w:proofErr w:type="spellEnd"/>
            <w:r w:rsidRPr="00516C1F">
              <w:rPr>
                <w:rFonts w:eastAsia="Times New Roman" w:cs="Calibri"/>
                <w:color w:val="000000"/>
                <w:kern w:val="0"/>
                <w:sz w:val="16"/>
                <w:szCs w:val="16"/>
                <w:lang w:val="en-GB"/>
                <w14:ligatures w14:val="none"/>
              </w:rPr>
              <w:t xml:space="preserve"> 2i GmbH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137480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30D43BE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AC9CC"/>
            <w:noWrap/>
            <w:vAlign w:val="bottom"/>
            <w:hideMark/>
          </w:tcPr>
          <w:p w14:paraId="590A8ED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0.356</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17A9D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49908AA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4E5CF8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107</w:t>
            </w:r>
          </w:p>
        </w:tc>
        <w:tc>
          <w:tcPr>
            <w:tcW w:w="4395" w:type="dxa"/>
            <w:tcBorders>
              <w:top w:val="nil"/>
              <w:left w:val="nil"/>
              <w:bottom w:val="single" w:sz="4" w:space="0" w:color="auto"/>
              <w:right w:val="single" w:sz="4" w:space="0" w:color="auto"/>
            </w:tcBorders>
            <w:noWrap/>
            <w:vAlign w:val="bottom"/>
            <w:hideMark/>
          </w:tcPr>
          <w:p w14:paraId="3F57ED5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Erlangen University Hospital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385D3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2C5D25E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83F2B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0.440</w:t>
            </w:r>
          </w:p>
        </w:tc>
        <w:tc>
          <w:tcPr>
            <w:tcW w:w="1133"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3D037AF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01C166A3"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924025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108</w:t>
            </w:r>
          </w:p>
        </w:tc>
        <w:tc>
          <w:tcPr>
            <w:tcW w:w="4395" w:type="dxa"/>
            <w:tcBorders>
              <w:top w:val="nil"/>
              <w:left w:val="nil"/>
              <w:bottom w:val="single" w:sz="4" w:space="0" w:color="auto"/>
              <w:right w:val="single" w:sz="4" w:space="0" w:color="auto"/>
            </w:tcBorders>
            <w:noWrap/>
            <w:vAlign w:val="bottom"/>
            <w:hideMark/>
          </w:tcPr>
          <w:p w14:paraId="057B472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Centre for Social Innovation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65AB2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086437B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07BAFA1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0.420</w:t>
            </w:r>
          </w:p>
        </w:tc>
        <w:tc>
          <w:tcPr>
            <w:tcW w:w="1133" w:type="dxa"/>
            <w:tcBorders>
              <w:top w:val="single" w:sz="4" w:space="0" w:color="auto"/>
              <w:left w:val="single" w:sz="4" w:space="0" w:color="auto"/>
              <w:bottom w:val="single" w:sz="4" w:space="0" w:color="auto"/>
              <w:right w:val="single" w:sz="4" w:space="0" w:color="auto"/>
            </w:tcBorders>
            <w:shd w:val="clear" w:color="000000" w:fill="FAC1C3"/>
            <w:noWrap/>
            <w:vAlign w:val="bottom"/>
            <w:hideMark/>
          </w:tcPr>
          <w:p w14:paraId="2B19398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5395B024"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738B263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109</w:t>
            </w:r>
          </w:p>
        </w:tc>
        <w:tc>
          <w:tcPr>
            <w:tcW w:w="4395" w:type="dxa"/>
            <w:tcBorders>
              <w:top w:val="nil"/>
              <w:left w:val="nil"/>
              <w:bottom w:val="single" w:sz="4" w:space="0" w:color="auto"/>
              <w:right w:val="single" w:sz="4" w:space="0" w:color="auto"/>
            </w:tcBorders>
            <w:noWrap/>
            <w:vAlign w:val="bottom"/>
            <w:hideMark/>
          </w:tcPr>
          <w:p w14:paraId="3C463C9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Slovenian National Building and Civil Engineering Institute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8F3C3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2B057E7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D5D8"/>
            <w:noWrap/>
            <w:vAlign w:val="bottom"/>
            <w:hideMark/>
          </w:tcPr>
          <w:p w14:paraId="0CD0901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0.375</w:t>
            </w:r>
          </w:p>
        </w:tc>
        <w:tc>
          <w:tcPr>
            <w:tcW w:w="1133" w:type="dxa"/>
            <w:tcBorders>
              <w:top w:val="single" w:sz="4" w:space="0" w:color="auto"/>
              <w:left w:val="single" w:sz="4" w:space="0" w:color="auto"/>
              <w:bottom w:val="single" w:sz="4" w:space="0" w:color="auto"/>
              <w:right w:val="single" w:sz="4" w:space="0" w:color="auto"/>
            </w:tcBorders>
            <w:shd w:val="clear" w:color="000000" w:fill="F88082"/>
            <w:noWrap/>
            <w:vAlign w:val="bottom"/>
            <w:hideMark/>
          </w:tcPr>
          <w:p w14:paraId="3834906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039D8B60"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093294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110</w:t>
            </w:r>
          </w:p>
        </w:tc>
        <w:tc>
          <w:tcPr>
            <w:tcW w:w="4395" w:type="dxa"/>
            <w:tcBorders>
              <w:top w:val="nil"/>
              <w:left w:val="nil"/>
              <w:bottom w:val="single" w:sz="4" w:space="0" w:color="auto"/>
              <w:right w:val="single" w:sz="4" w:space="0" w:color="auto"/>
            </w:tcBorders>
            <w:noWrap/>
            <w:vAlign w:val="bottom"/>
            <w:hideMark/>
          </w:tcPr>
          <w:p w14:paraId="18A428BF"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Medical University of Graz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BBDC9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7E0A3EF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AD0D2"/>
            <w:noWrap/>
            <w:vAlign w:val="bottom"/>
            <w:hideMark/>
          </w:tcPr>
          <w:p w14:paraId="6A1F10F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0.367</w:t>
            </w:r>
          </w:p>
        </w:tc>
        <w:tc>
          <w:tcPr>
            <w:tcW w:w="1133" w:type="dxa"/>
            <w:tcBorders>
              <w:top w:val="single" w:sz="4" w:space="0" w:color="auto"/>
              <w:left w:val="single" w:sz="4" w:space="0" w:color="auto"/>
              <w:bottom w:val="single" w:sz="4" w:space="0" w:color="auto"/>
              <w:right w:val="single" w:sz="4" w:space="0" w:color="auto"/>
            </w:tcBorders>
            <w:shd w:val="clear" w:color="000000" w:fill="FAD1D3"/>
            <w:noWrap/>
            <w:vAlign w:val="bottom"/>
            <w:hideMark/>
          </w:tcPr>
          <w:p w14:paraId="44DA3E8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39FCCCDD"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4DF89C8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111</w:t>
            </w:r>
          </w:p>
        </w:tc>
        <w:tc>
          <w:tcPr>
            <w:tcW w:w="4395" w:type="dxa"/>
            <w:tcBorders>
              <w:top w:val="nil"/>
              <w:left w:val="nil"/>
              <w:bottom w:val="single" w:sz="4" w:space="0" w:color="auto"/>
              <w:right w:val="single" w:sz="4" w:space="0" w:color="auto"/>
            </w:tcBorders>
            <w:noWrap/>
            <w:vAlign w:val="bottom"/>
            <w:hideMark/>
          </w:tcPr>
          <w:p w14:paraId="559A62F3" w14:textId="77777777" w:rsidR="00A925A3" w:rsidRPr="008D3852" w:rsidRDefault="00A925A3" w:rsidP="00A925A3">
            <w:pPr>
              <w:spacing w:after="0" w:line="240" w:lineRule="auto"/>
              <w:rPr>
                <w:rFonts w:eastAsia="Times New Roman" w:cs="Calibri"/>
                <w:color w:val="000000"/>
                <w:kern w:val="0"/>
                <w:sz w:val="16"/>
                <w:szCs w:val="16"/>
                <w:lang w:val="fr-FR"/>
                <w14:ligatures w14:val="none"/>
              </w:rPr>
            </w:pPr>
            <w:r w:rsidRPr="008D3852">
              <w:rPr>
                <w:rFonts w:eastAsia="Times New Roman" w:cs="Calibri"/>
                <w:color w:val="000000"/>
                <w:kern w:val="0"/>
                <w:sz w:val="16"/>
                <w:szCs w:val="16"/>
                <w:lang w:val="fr-FR"/>
                <w14:ligatures w14:val="none"/>
              </w:rPr>
              <w:t>NTT Data Romania SA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D2F80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1E8289D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C0C3"/>
            <w:noWrap/>
            <w:vAlign w:val="bottom"/>
            <w:hideMark/>
          </w:tcPr>
          <w:p w14:paraId="10EE369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0.340</w:t>
            </w:r>
          </w:p>
        </w:tc>
        <w:tc>
          <w:tcPr>
            <w:tcW w:w="1133" w:type="dxa"/>
            <w:tcBorders>
              <w:top w:val="single" w:sz="4" w:space="0" w:color="auto"/>
              <w:left w:val="single" w:sz="4" w:space="0" w:color="auto"/>
              <w:bottom w:val="single" w:sz="4" w:space="0" w:color="auto"/>
              <w:right w:val="single" w:sz="4" w:space="0" w:color="auto"/>
            </w:tcBorders>
            <w:shd w:val="clear" w:color="000000" w:fill="F88789"/>
            <w:noWrap/>
            <w:vAlign w:val="bottom"/>
            <w:hideMark/>
          </w:tcPr>
          <w:p w14:paraId="1DB1685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54E1AF76"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24C0C6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112</w:t>
            </w:r>
          </w:p>
        </w:tc>
        <w:tc>
          <w:tcPr>
            <w:tcW w:w="4395" w:type="dxa"/>
            <w:tcBorders>
              <w:top w:val="nil"/>
              <w:left w:val="nil"/>
              <w:bottom w:val="single" w:sz="4" w:space="0" w:color="auto"/>
              <w:right w:val="single" w:sz="4" w:space="0" w:color="auto"/>
            </w:tcBorders>
            <w:noWrap/>
            <w:vAlign w:val="bottom"/>
            <w:hideMark/>
          </w:tcPr>
          <w:p w14:paraId="2A84CE9E"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Arctur</w:t>
            </w:r>
            <w:proofErr w:type="spellEnd"/>
            <w:r w:rsidRPr="00516C1F">
              <w:rPr>
                <w:rFonts w:eastAsia="Times New Roman" w:cs="Calibri"/>
                <w:color w:val="000000"/>
                <w:kern w:val="0"/>
                <w:sz w:val="16"/>
                <w:szCs w:val="16"/>
                <w:lang w:val="en-GB"/>
                <w14:ligatures w14:val="none"/>
              </w:rPr>
              <w:t xml:space="preserve"> Computer Engineering Ltd.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3F75F4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040E5B5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AD3D6"/>
            <w:noWrap/>
            <w:vAlign w:val="bottom"/>
            <w:hideMark/>
          </w:tcPr>
          <w:p w14:paraId="35D2F5D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0.372</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792D2B4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0.006</w:t>
            </w:r>
          </w:p>
        </w:tc>
      </w:tr>
      <w:tr w:rsidR="00A925A3" w:rsidRPr="00516C1F" w14:paraId="06135AB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7115211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113</w:t>
            </w:r>
          </w:p>
        </w:tc>
        <w:tc>
          <w:tcPr>
            <w:tcW w:w="4395" w:type="dxa"/>
            <w:tcBorders>
              <w:top w:val="nil"/>
              <w:left w:val="nil"/>
              <w:bottom w:val="single" w:sz="4" w:space="0" w:color="auto"/>
              <w:right w:val="single" w:sz="4" w:space="0" w:color="auto"/>
            </w:tcBorders>
            <w:noWrap/>
            <w:vAlign w:val="bottom"/>
            <w:hideMark/>
          </w:tcPr>
          <w:p w14:paraId="52A3B71D"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Nokia Solutions and Networks GmbH &amp; Co KG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B4B74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48E77C7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AD4D7"/>
            <w:noWrap/>
            <w:vAlign w:val="bottom"/>
            <w:hideMark/>
          </w:tcPr>
          <w:p w14:paraId="739F26F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0.374</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A6B8F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73BC4CCA"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2F8BD6A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114</w:t>
            </w:r>
          </w:p>
        </w:tc>
        <w:tc>
          <w:tcPr>
            <w:tcW w:w="4395" w:type="dxa"/>
            <w:tcBorders>
              <w:top w:val="nil"/>
              <w:left w:val="nil"/>
              <w:bottom w:val="single" w:sz="4" w:space="0" w:color="auto"/>
              <w:right w:val="single" w:sz="4" w:space="0" w:color="auto"/>
            </w:tcBorders>
            <w:noWrap/>
            <w:vAlign w:val="bottom"/>
            <w:hideMark/>
          </w:tcPr>
          <w:p w14:paraId="22B78D88"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Executive Unit for Financing Higher Education, Research, Development, and Innovation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BD565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58A67A2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05A94B0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0.379</w:t>
            </w:r>
          </w:p>
        </w:tc>
        <w:tc>
          <w:tcPr>
            <w:tcW w:w="1133" w:type="dxa"/>
            <w:tcBorders>
              <w:top w:val="single" w:sz="4" w:space="0" w:color="auto"/>
              <w:left w:val="single" w:sz="4" w:space="0" w:color="auto"/>
              <w:bottom w:val="single" w:sz="4" w:space="0" w:color="auto"/>
              <w:right w:val="single" w:sz="4" w:space="0" w:color="auto"/>
            </w:tcBorders>
            <w:shd w:val="clear" w:color="000000" w:fill="F87D7F"/>
            <w:noWrap/>
            <w:vAlign w:val="bottom"/>
            <w:hideMark/>
          </w:tcPr>
          <w:p w14:paraId="4AB097C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3C2663C0"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9DADFD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115</w:t>
            </w:r>
          </w:p>
        </w:tc>
        <w:tc>
          <w:tcPr>
            <w:tcW w:w="4395" w:type="dxa"/>
            <w:tcBorders>
              <w:top w:val="nil"/>
              <w:left w:val="nil"/>
              <w:bottom w:val="single" w:sz="4" w:space="0" w:color="auto"/>
              <w:right w:val="single" w:sz="4" w:space="0" w:color="auto"/>
            </w:tcBorders>
            <w:noWrap/>
            <w:vAlign w:val="bottom"/>
            <w:hideMark/>
          </w:tcPr>
          <w:p w14:paraId="7CCAEC2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Julius Maximilian University of Würzburg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D1E62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02779F0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DCDF"/>
            <w:noWrap/>
            <w:vAlign w:val="bottom"/>
            <w:hideMark/>
          </w:tcPr>
          <w:p w14:paraId="421C3A6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0.388</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FF9C5C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E9FACD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7CD968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116</w:t>
            </w:r>
          </w:p>
        </w:tc>
        <w:tc>
          <w:tcPr>
            <w:tcW w:w="4395" w:type="dxa"/>
            <w:tcBorders>
              <w:top w:val="nil"/>
              <w:left w:val="nil"/>
              <w:bottom w:val="single" w:sz="4" w:space="0" w:color="auto"/>
              <w:right w:val="single" w:sz="4" w:space="0" w:color="auto"/>
            </w:tcBorders>
            <w:noWrap/>
            <w:vAlign w:val="bottom"/>
            <w:hideMark/>
          </w:tcPr>
          <w:p w14:paraId="151410A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Kempelen</w:t>
            </w:r>
            <w:proofErr w:type="spellEnd"/>
            <w:r w:rsidRPr="00516C1F">
              <w:rPr>
                <w:rFonts w:eastAsia="Times New Roman" w:cs="Calibri"/>
                <w:color w:val="000000"/>
                <w:kern w:val="0"/>
                <w:sz w:val="16"/>
                <w:szCs w:val="16"/>
                <w:lang w:val="en-GB"/>
                <w14:ligatures w14:val="none"/>
              </w:rPr>
              <w:t xml:space="preserve"> Institute of Intelligent Technologies (Slovakia)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DCFDA8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69FFD45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1682299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0.443</w:t>
            </w:r>
          </w:p>
        </w:tc>
        <w:tc>
          <w:tcPr>
            <w:tcW w:w="1133" w:type="dxa"/>
            <w:tcBorders>
              <w:top w:val="single" w:sz="4" w:space="0" w:color="auto"/>
              <w:left w:val="single" w:sz="4" w:space="0" w:color="auto"/>
              <w:bottom w:val="single" w:sz="4" w:space="0" w:color="auto"/>
              <w:right w:val="single" w:sz="4" w:space="0" w:color="auto"/>
            </w:tcBorders>
            <w:shd w:val="clear" w:color="000000" w:fill="FACCCF"/>
            <w:noWrap/>
            <w:vAlign w:val="bottom"/>
            <w:hideMark/>
          </w:tcPr>
          <w:p w14:paraId="1A82FFE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68CC9F5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EB673D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117</w:t>
            </w:r>
          </w:p>
        </w:tc>
        <w:tc>
          <w:tcPr>
            <w:tcW w:w="4395" w:type="dxa"/>
            <w:tcBorders>
              <w:top w:val="nil"/>
              <w:left w:val="nil"/>
              <w:bottom w:val="single" w:sz="4" w:space="0" w:color="auto"/>
              <w:right w:val="single" w:sz="4" w:space="0" w:color="auto"/>
            </w:tcBorders>
            <w:noWrap/>
            <w:vAlign w:val="bottom"/>
            <w:hideMark/>
          </w:tcPr>
          <w:p w14:paraId="7887FB9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the Federal Armed Forces Munich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CBB7E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095C0AD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2B18AAB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0.443</w:t>
            </w:r>
          </w:p>
        </w:tc>
        <w:tc>
          <w:tcPr>
            <w:tcW w:w="1133" w:type="dxa"/>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6C5A8C7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0.061</w:t>
            </w:r>
          </w:p>
        </w:tc>
      </w:tr>
      <w:tr w:rsidR="00A925A3" w:rsidRPr="00516C1F" w14:paraId="327A23AD"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0D09468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118</w:t>
            </w:r>
          </w:p>
        </w:tc>
        <w:tc>
          <w:tcPr>
            <w:tcW w:w="4395" w:type="dxa"/>
            <w:tcBorders>
              <w:top w:val="nil"/>
              <w:left w:val="nil"/>
              <w:bottom w:val="single" w:sz="4" w:space="0" w:color="auto"/>
              <w:right w:val="single" w:sz="4" w:space="0" w:color="auto"/>
            </w:tcBorders>
            <w:noWrap/>
            <w:vAlign w:val="bottom"/>
            <w:hideMark/>
          </w:tcPr>
          <w:p w14:paraId="37E3DAA0"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ITC - Innovation and Technology Cluster </w:t>
            </w:r>
            <w:proofErr w:type="spellStart"/>
            <w:r w:rsidRPr="00516C1F">
              <w:rPr>
                <w:rFonts w:eastAsia="Times New Roman" w:cs="Calibri"/>
                <w:color w:val="000000"/>
                <w:kern w:val="0"/>
                <w:sz w:val="16"/>
                <w:szCs w:val="16"/>
                <w:lang w:val="en-GB"/>
                <w14:ligatures w14:val="none"/>
              </w:rPr>
              <w:t>Murska</w:t>
            </w:r>
            <w:proofErr w:type="spellEnd"/>
            <w:r w:rsidRPr="00516C1F">
              <w:rPr>
                <w:rFonts w:eastAsia="Times New Roman" w:cs="Calibri"/>
                <w:color w:val="000000"/>
                <w:kern w:val="0"/>
                <w:sz w:val="16"/>
                <w:szCs w:val="16"/>
                <w:lang w:val="en-GB"/>
                <w14:ligatures w14:val="none"/>
              </w:rPr>
              <w:t xml:space="preserve"> Sobota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46F25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2BCB884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8486"/>
            <w:noWrap/>
            <w:vAlign w:val="bottom"/>
            <w:hideMark/>
          </w:tcPr>
          <w:p w14:paraId="3A38377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0.240</w:t>
            </w:r>
          </w:p>
        </w:tc>
        <w:tc>
          <w:tcPr>
            <w:tcW w:w="1133" w:type="dxa"/>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19B43C4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0.031</w:t>
            </w:r>
          </w:p>
        </w:tc>
      </w:tr>
      <w:tr w:rsidR="00A925A3" w:rsidRPr="00516C1F" w14:paraId="6ACBDBEC"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2B7653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119</w:t>
            </w:r>
          </w:p>
        </w:tc>
        <w:tc>
          <w:tcPr>
            <w:tcW w:w="4395" w:type="dxa"/>
            <w:tcBorders>
              <w:top w:val="nil"/>
              <w:left w:val="nil"/>
              <w:bottom w:val="single" w:sz="4" w:space="0" w:color="auto"/>
              <w:right w:val="single" w:sz="4" w:space="0" w:color="auto"/>
            </w:tcBorders>
            <w:noWrap/>
            <w:vAlign w:val="bottom"/>
            <w:hideMark/>
          </w:tcPr>
          <w:p w14:paraId="20B1A4E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Steinbeis</w:t>
            </w:r>
            <w:proofErr w:type="spellEnd"/>
            <w:r w:rsidRPr="00516C1F">
              <w:rPr>
                <w:rFonts w:eastAsia="Times New Roman" w:cs="Calibri"/>
                <w:color w:val="000000"/>
                <w:kern w:val="0"/>
                <w:sz w:val="16"/>
                <w:szCs w:val="16"/>
                <w:lang w:val="en-GB"/>
                <w14:ligatures w14:val="none"/>
              </w:rPr>
              <w:t xml:space="preserve"> Innovation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A0FE9D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F89BDB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AC5C8"/>
            <w:noWrap/>
            <w:vAlign w:val="bottom"/>
            <w:hideMark/>
          </w:tcPr>
          <w:p w14:paraId="5240A1B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0.349</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891A8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128019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9C0EAF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120</w:t>
            </w:r>
          </w:p>
        </w:tc>
        <w:tc>
          <w:tcPr>
            <w:tcW w:w="4395" w:type="dxa"/>
            <w:tcBorders>
              <w:top w:val="nil"/>
              <w:left w:val="nil"/>
              <w:bottom w:val="single" w:sz="4" w:space="0" w:color="auto"/>
              <w:right w:val="single" w:sz="4" w:space="0" w:color="auto"/>
            </w:tcBorders>
            <w:noWrap/>
            <w:vAlign w:val="bottom"/>
            <w:hideMark/>
          </w:tcPr>
          <w:p w14:paraId="6903C84B"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Technical University of </w:t>
            </w:r>
            <w:proofErr w:type="spellStart"/>
            <w:r w:rsidRPr="00516C1F">
              <w:rPr>
                <w:rFonts w:eastAsia="Times New Roman" w:cs="Calibri"/>
                <w:color w:val="000000"/>
                <w:kern w:val="0"/>
                <w:sz w:val="16"/>
                <w:szCs w:val="16"/>
                <w:lang w:val="en-GB"/>
                <w14:ligatures w14:val="none"/>
              </w:rPr>
              <w:t>Košice</w:t>
            </w:r>
            <w:proofErr w:type="spellEnd"/>
            <w:r w:rsidRPr="00516C1F">
              <w:rPr>
                <w:rFonts w:eastAsia="Times New Roman" w:cs="Calibri"/>
                <w:color w:val="000000"/>
                <w:kern w:val="0"/>
                <w:sz w:val="16"/>
                <w:szCs w:val="16"/>
                <w:lang w:val="en-GB"/>
                <w14:ligatures w14:val="none"/>
              </w:rPr>
              <w:t xml:space="preserve"> (Slovakia)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127E40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0263A0E9"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D1D4"/>
            <w:noWrap/>
            <w:vAlign w:val="bottom"/>
            <w:hideMark/>
          </w:tcPr>
          <w:p w14:paraId="4320BF3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0.369</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A559AF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D45AC1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6D1558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121</w:t>
            </w:r>
          </w:p>
        </w:tc>
        <w:tc>
          <w:tcPr>
            <w:tcW w:w="4395" w:type="dxa"/>
            <w:tcBorders>
              <w:top w:val="nil"/>
              <w:left w:val="nil"/>
              <w:bottom w:val="single" w:sz="4" w:space="0" w:color="auto"/>
              <w:right w:val="single" w:sz="4" w:space="0" w:color="auto"/>
            </w:tcBorders>
            <w:noWrap/>
            <w:vAlign w:val="bottom"/>
            <w:hideMark/>
          </w:tcPr>
          <w:p w14:paraId="77CB99F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116. Know-</w:t>
            </w:r>
            <w:proofErr w:type="spellStart"/>
            <w:r w:rsidRPr="00516C1F">
              <w:rPr>
                <w:rFonts w:eastAsia="Times New Roman" w:cs="Calibri"/>
                <w:color w:val="000000"/>
                <w:kern w:val="0"/>
                <w:sz w:val="16"/>
                <w:szCs w:val="16"/>
                <w:lang w:val="en-GB"/>
                <w14:ligatures w14:val="none"/>
              </w:rPr>
              <w:t>Center</w:t>
            </w:r>
            <w:proofErr w:type="spellEnd"/>
            <w:r w:rsidRPr="00516C1F">
              <w:rPr>
                <w:rFonts w:eastAsia="Times New Roman" w:cs="Calibri"/>
                <w:color w:val="000000"/>
                <w:kern w:val="0"/>
                <w:sz w:val="16"/>
                <w:szCs w:val="16"/>
                <w:lang w:val="en-GB"/>
                <w14:ligatures w14:val="none"/>
              </w:rPr>
              <w:t xml:space="preserve"> GmbH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8DED58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77B351D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3558B51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0.424</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727647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C89C02A"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4E7515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122</w:t>
            </w:r>
          </w:p>
        </w:tc>
        <w:tc>
          <w:tcPr>
            <w:tcW w:w="4395" w:type="dxa"/>
            <w:tcBorders>
              <w:top w:val="nil"/>
              <w:left w:val="nil"/>
              <w:bottom w:val="single" w:sz="4" w:space="0" w:color="auto"/>
              <w:right w:val="single" w:sz="4" w:space="0" w:color="auto"/>
            </w:tcBorders>
            <w:noWrap/>
            <w:vAlign w:val="bottom"/>
            <w:hideMark/>
          </w:tcPr>
          <w:p w14:paraId="192904F3"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Comsensus</w:t>
            </w:r>
            <w:proofErr w:type="spellEnd"/>
            <w:r w:rsidRPr="00516C1F">
              <w:rPr>
                <w:rFonts w:eastAsia="Times New Roman" w:cs="Calibri"/>
                <w:color w:val="000000"/>
                <w:kern w:val="0"/>
                <w:sz w:val="16"/>
                <w:szCs w:val="16"/>
                <w:lang w:val="en-GB"/>
                <w14:ligatures w14:val="none"/>
              </w:rPr>
              <w:t>, Communications and Sensorics Ltd.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5AF9F8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BDBF"/>
            <w:noWrap/>
            <w:vAlign w:val="bottom"/>
            <w:hideMark/>
          </w:tcPr>
          <w:p w14:paraId="4D8852F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BF5F8"/>
            <w:noWrap/>
            <w:vAlign w:val="bottom"/>
            <w:hideMark/>
          </w:tcPr>
          <w:p w14:paraId="01E4964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0.430</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96681A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07E7E8EA"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3B9DCE7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123</w:t>
            </w:r>
          </w:p>
        </w:tc>
        <w:tc>
          <w:tcPr>
            <w:tcW w:w="4395" w:type="dxa"/>
            <w:tcBorders>
              <w:top w:val="nil"/>
              <w:left w:val="nil"/>
              <w:bottom w:val="single" w:sz="4" w:space="0" w:color="auto"/>
              <w:right w:val="single" w:sz="4" w:space="0" w:color="auto"/>
            </w:tcBorders>
            <w:noWrap/>
            <w:vAlign w:val="bottom"/>
            <w:hideMark/>
          </w:tcPr>
          <w:p w14:paraId="3006A8D0"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Coriant R&amp;D GmbH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86F78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76D29FD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094B55A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0.427</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A227B7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21691D65"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6DF1A91"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124</w:t>
            </w:r>
          </w:p>
        </w:tc>
        <w:tc>
          <w:tcPr>
            <w:tcW w:w="4395" w:type="dxa"/>
            <w:tcBorders>
              <w:top w:val="nil"/>
              <w:left w:val="nil"/>
              <w:bottom w:val="single" w:sz="4" w:space="0" w:color="auto"/>
              <w:right w:val="single" w:sz="4" w:space="0" w:color="auto"/>
            </w:tcBorders>
            <w:noWrap/>
            <w:vAlign w:val="bottom"/>
            <w:hideMark/>
          </w:tcPr>
          <w:p w14:paraId="180B2A6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Center</w:t>
            </w:r>
            <w:proofErr w:type="spellEnd"/>
            <w:r w:rsidRPr="00516C1F">
              <w:rPr>
                <w:rFonts w:eastAsia="Times New Roman" w:cs="Calibri"/>
                <w:color w:val="000000"/>
                <w:kern w:val="0"/>
                <w:sz w:val="16"/>
                <w:szCs w:val="16"/>
                <w:lang w:val="en-GB"/>
                <w14:ligatures w14:val="none"/>
              </w:rPr>
              <w:t xml:space="preserve"> for the Study of Democracy (Bulgaria)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66A9A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2088402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26118D4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0.418</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66B63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043730B4"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5899751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125</w:t>
            </w:r>
          </w:p>
        </w:tc>
        <w:tc>
          <w:tcPr>
            <w:tcW w:w="4395" w:type="dxa"/>
            <w:tcBorders>
              <w:top w:val="nil"/>
              <w:left w:val="nil"/>
              <w:bottom w:val="single" w:sz="4" w:space="0" w:color="auto"/>
              <w:right w:val="single" w:sz="4" w:space="0" w:color="auto"/>
            </w:tcBorders>
            <w:noWrap/>
            <w:vAlign w:val="bottom"/>
            <w:hideMark/>
          </w:tcPr>
          <w:p w14:paraId="122F0067"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National Institute of Chemistry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02F369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1E4E7AD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5F8"/>
            <w:noWrap/>
            <w:vAlign w:val="bottom"/>
            <w:hideMark/>
          </w:tcPr>
          <w:p w14:paraId="43CBCCEB"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0.430</w:t>
            </w:r>
          </w:p>
        </w:tc>
        <w:tc>
          <w:tcPr>
            <w:tcW w:w="1133" w:type="dxa"/>
            <w:tcBorders>
              <w:top w:val="single" w:sz="4" w:space="0" w:color="auto"/>
              <w:left w:val="single" w:sz="4" w:space="0" w:color="auto"/>
              <w:bottom w:val="single" w:sz="4" w:space="0" w:color="auto"/>
              <w:right w:val="single" w:sz="4" w:space="0" w:color="auto"/>
            </w:tcBorders>
            <w:shd w:val="clear" w:color="000000" w:fill="F9A6A9"/>
            <w:noWrap/>
            <w:vAlign w:val="bottom"/>
            <w:hideMark/>
          </w:tcPr>
          <w:p w14:paraId="7C813766"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25A3" w:rsidRPr="00516C1F" w14:paraId="62BA3811" w14:textId="77777777" w:rsidTr="00A925A3">
        <w:trPr>
          <w:trHeight w:val="288"/>
        </w:trPr>
        <w:tc>
          <w:tcPr>
            <w:tcW w:w="562" w:type="dxa"/>
            <w:tcBorders>
              <w:top w:val="nil"/>
              <w:left w:val="single" w:sz="4" w:space="0" w:color="auto"/>
              <w:bottom w:val="single" w:sz="4" w:space="0" w:color="auto"/>
              <w:right w:val="single" w:sz="4" w:space="0" w:color="auto"/>
            </w:tcBorders>
            <w:noWrap/>
            <w:vAlign w:val="bottom"/>
            <w:hideMark/>
          </w:tcPr>
          <w:p w14:paraId="54542B8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126</w:t>
            </w:r>
          </w:p>
        </w:tc>
        <w:tc>
          <w:tcPr>
            <w:tcW w:w="4395" w:type="dxa"/>
            <w:tcBorders>
              <w:top w:val="nil"/>
              <w:left w:val="nil"/>
              <w:bottom w:val="single" w:sz="4" w:space="0" w:color="auto"/>
              <w:right w:val="single" w:sz="4" w:space="0" w:color="auto"/>
            </w:tcBorders>
            <w:noWrap/>
            <w:vAlign w:val="bottom"/>
            <w:hideMark/>
          </w:tcPr>
          <w:p w14:paraId="3C17A8F9"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Austrian Standards International – Standardization and Innovation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2BA2FBF"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C6A3AD"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ABABD"/>
            <w:noWrap/>
            <w:vAlign w:val="bottom"/>
            <w:hideMark/>
          </w:tcPr>
          <w:p w14:paraId="3E82164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0.331</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9CF04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46C57537"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1D05DC7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127</w:t>
            </w:r>
          </w:p>
        </w:tc>
        <w:tc>
          <w:tcPr>
            <w:tcW w:w="4395" w:type="dxa"/>
            <w:tcBorders>
              <w:top w:val="nil"/>
              <w:left w:val="nil"/>
              <w:bottom w:val="single" w:sz="4" w:space="0" w:color="auto"/>
              <w:right w:val="single" w:sz="4" w:space="0" w:color="auto"/>
            </w:tcBorders>
            <w:noWrap/>
            <w:vAlign w:val="bottom"/>
            <w:hideMark/>
          </w:tcPr>
          <w:p w14:paraId="04E67C9F"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BEIA Consult International SRL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47A1A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6C10440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FAD6D8"/>
            <w:noWrap/>
            <w:vAlign w:val="bottom"/>
            <w:hideMark/>
          </w:tcPr>
          <w:p w14:paraId="470D9BC7"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0.376</w:t>
            </w:r>
          </w:p>
        </w:tc>
        <w:tc>
          <w:tcPr>
            <w:tcW w:w="1133"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701DEACC"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25A3" w:rsidRPr="00516C1F" w14:paraId="6A80B4E1"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202EA86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128</w:t>
            </w:r>
          </w:p>
        </w:tc>
        <w:tc>
          <w:tcPr>
            <w:tcW w:w="4395" w:type="dxa"/>
            <w:tcBorders>
              <w:top w:val="nil"/>
              <w:left w:val="nil"/>
              <w:bottom w:val="single" w:sz="4" w:space="0" w:color="auto"/>
              <w:right w:val="single" w:sz="4" w:space="0" w:color="auto"/>
            </w:tcBorders>
            <w:noWrap/>
            <w:vAlign w:val="bottom"/>
            <w:hideMark/>
          </w:tcPr>
          <w:p w14:paraId="38FF6710"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Veterinary Medicine Budapest (Hungary)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9219D04"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599171E0"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AC4C7"/>
            <w:noWrap/>
            <w:vAlign w:val="bottom"/>
            <w:hideMark/>
          </w:tcPr>
          <w:p w14:paraId="3BCA8CE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0.348</w:t>
            </w:r>
          </w:p>
        </w:tc>
        <w:tc>
          <w:tcPr>
            <w:tcW w:w="1133" w:type="dxa"/>
            <w:tcBorders>
              <w:top w:val="single" w:sz="4" w:space="0" w:color="auto"/>
              <w:left w:val="single" w:sz="4" w:space="0" w:color="auto"/>
              <w:bottom w:val="single" w:sz="4" w:space="0" w:color="auto"/>
              <w:right w:val="single" w:sz="4" w:space="0" w:color="auto"/>
            </w:tcBorders>
            <w:shd w:val="clear" w:color="000000" w:fill="F86E70"/>
            <w:noWrap/>
            <w:vAlign w:val="bottom"/>
            <w:hideMark/>
          </w:tcPr>
          <w:p w14:paraId="648C03F5"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25A3" w:rsidRPr="00516C1F" w14:paraId="52F122BE" w14:textId="77777777" w:rsidTr="00A925A3">
        <w:trPr>
          <w:trHeight w:val="170"/>
        </w:trPr>
        <w:tc>
          <w:tcPr>
            <w:tcW w:w="562" w:type="dxa"/>
            <w:tcBorders>
              <w:top w:val="nil"/>
              <w:left w:val="single" w:sz="4" w:space="0" w:color="auto"/>
              <w:bottom w:val="single" w:sz="4" w:space="0" w:color="auto"/>
              <w:right w:val="single" w:sz="4" w:space="0" w:color="auto"/>
            </w:tcBorders>
            <w:noWrap/>
            <w:vAlign w:val="bottom"/>
            <w:hideMark/>
          </w:tcPr>
          <w:p w14:paraId="66A804A3"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129</w:t>
            </w:r>
          </w:p>
        </w:tc>
        <w:tc>
          <w:tcPr>
            <w:tcW w:w="4395" w:type="dxa"/>
            <w:tcBorders>
              <w:top w:val="nil"/>
              <w:left w:val="nil"/>
              <w:bottom w:val="single" w:sz="4" w:space="0" w:color="auto"/>
              <w:right w:val="single" w:sz="4" w:space="0" w:color="auto"/>
            </w:tcBorders>
            <w:noWrap/>
            <w:vAlign w:val="bottom"/>
            <w:hideMark/>
          </w:tcPr>
          <w:p w14:paraId="56C6C671" w14:textId="77777777" w:rsidR="00A925A3" w:rsidRPr="00516C1F" w:rsidRDefault="00A925A3" w:rsidP="00A925A3">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BioSense</w:t>
            </w:r>
            <w:proofErr w:type="spellEnd"/>
            <w:r w:rsidRPr="00516C1F">
              <w:rPr>
                <w:rFonts w:eastAsia="Times New Roman" w:cs="Calibri"/>
                <w:color w:val="000000"/>
                <w:kern w:val="0"/>
                <w:sz w:val="16"/>
                <w:szCs w:val="16"/>
                <w:lang w:val="en-GB"/>
                <w14:ligatures w14:val="none"/>
              </w:rPr>
              <w:t xml:space="preserve"> Institute (Serbia)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2B7C61A"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7F37A03E"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0B71B2"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0.194</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6158738" w14:textId="77777777" w:rsidR="00A925A3" w:rsidRPr="00516C1F" w:rsidRDefault="00A925A3" w:rsidP="00A925A3">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bl>
    <w:p w14:paraId="2B99D095" w14:textId="1CD04433" w:rsidR="005C0715" w:rsidRPr="00094841" w:rsidRDefault="0071463C" w:rsidP="0071463C">
      <w:pPr>
        <w:spacing w:after="0"/>
        <w:rPr>
          <w:rFonts w:cs="Calibri"/>
          <w:sz w:val="18"/>
          <w:szCs w:val="18"/>
          <w:lang w:val="en-GB"/>
        </w:rPr>
      </w:pPr>
      <w:bookmarkStart w:id="20" w:name="_Hlk208654910"/>
      <w:r w:rsidRPr="00094841">
        <w:rPr>
          <w:rFonts w:cs="Calibri"/>
          <w:sz w:val="18"/>
          <w:szCs w:val="18"/>
          <w:lang w:val="en-GB"/>
        </w:rPr>
        <w:t>Source: cordis database</w:t>
      </w:r>
    </w:p>
    <w:p w14:paraId="3578EFEB" w14:textId="2CC4BDD7" w:rsidR="00B07451" w:rsidRPr="00094841" w:rsidRDefault="0071463C" w:rsidP="00825E19">
      <w:pPr>
        <w:spacing w:after="0"/>
        <w:jc w:val="both"/>
        <w:rPr>
          <w:rFonts w:cs="Calibri"/>
          <w:sz w:val="18"/>
          <w:szCs w:val="18"/>
          <w:lang w:val="en-GB"/>
        </w:rPr>
      </w:pPr>
      <w:r w:rsidRPr="00094841">
        <w:rPr>
          <w:rFonts w:cs="Calibri"/>
          <w:sz w:val="18"/>
          <w:szCs w:val="18"/>
          <w:lang w:val="en-GB"/>
        </w:rPr>
        <w:t xml:space="preserve">Note: the table includes only organizations from the </w:t>
      </w:r>
      <w:r w:rsidR="00DF1FB6" w:rsidRPr="00094841">
        <w:rPr>
          <w:rFonts w:cs="Calibri"/>
          <w:sz w:val="18"/>
          <w:szCs w:val="18"/>
          <w:lang w:val="en-GB"/>
        </w:rPr>
        <w:t>Danube</w:t>
      </w:r>
      <w:r w:rsidRPr="00094841">
        <w:rPr>
          <w:rFonts w:cs="Calibri"/>
          <w:sz w:val="18"/>
          <w:szCs w:val="18"/>
          <w:lang w:val="en-GB"/>
        </w:rPr>
        <w:t xml:space="preserve"> region that have participated in at least three </w:t>
      </w:r>
      <w:r w:rsidR="00DF1FB6" w:rsidRPr="00094841">
        <w:rPr>
          <w:rFonts w:cs="Calibri"/>
          <w:sz w:val="18"/>
          <w:szCs w:val="18"/>
          <w:lang w:val="en-GB"/>
        </w:rPr>
        <w:t>H</w:t>
      </w:r>
      <w:r w:rsidRPr="00094841">
        <w:rPr>
          <w:rFonts w:cs="Calibri"/>
          <w:sz w:val="18"/>
          <w:szCs w:val="18"/>
          <w:lang w:val="en-GB"/>
        </w:rPr>
        <w:t xml:space="preserve">orizon </w:t>
      </w:r>
      <w:r w:rsidR="00DF1FB6" w:rsidRPr="00094841">
        <w:rPr>
          <w:rFonts w:cs="Calibri"/>
          <w:sz w:val="18"/>
          <w:szCs w:val="18"/>
          <w:lang w:val="en-GB"/>
        </w:rPr>
        <w:t>Europe</w:t>
      </w:r>
      <w:r w:rsidRPr="00094841">
        <w:rPr>
          <w:rFonts w:cs="Calibri"/>
          <w:sz w:val="18"/>
          <w:szCs w:val="18"/>
          <w:lang w:val="en-GB"/>
        </w:rPr>
        <w:t xml:space="preserve"> projects</w:t>
      </w:r>
    </w:p>
    <w:p w14:paraId="5F9383CB" w14:textId="2994EDED" w:rsidR="00D31E93" w:rsidRPr="00094841" w:rsidRDefault="00D31E93" w:rsidP="00825E19">
      <w:pPr>
        <w:jc w:val="both"/>
        <w:rPr>
          <w:rFonts w:cs="Calibri"/>
          <w:sz w:val="18"/>
          <w:szCs w:val="18"/>
          <w:lang w:val="en-GB"/>
        </w:rPr>
      </w:pPr>
      <w:r w:rsidRPr="00094841">
        <w:rPr>
          <w:rFonts w:cs="Calibri"/>
          <w:sz w:val="18"/>
          <w:szCs w:val="18"/>
          <w:lang w:val="en-GB"/>
        </w:rPr>
        <w:t xml:space="preserve">The </w:t>
      </w:r>
      <w:r w:rsidR="00825E19" w:rsidRPr="00094841">
        <w:rPr>
          <w:rFonts w:cs="Calibri"/>
          <w:sz w:val="18"/>
          <w:szCs w:val="18"/>
          <w:lang w:val="en-GB"/>
        </w:rPr>
        <w:t>colour</w:t>
      </w:r>
      <w:r w:rsidRPr="00094841">
        <w:rPr>
          <w:rFonts w:cs="Calibri"/>
          <w:sz w:val="18"/>
          <w:szCs w:val="18"/>
          <w:lang w:val="en-GB"/>
        </w:rPr>
        <w:t xml:space="preserve"> coding in the table represents different levels of performance:</w:t>
      </w:r>
      <w:r w:rsidR="00825E19" w:rsidRPr="00094841">
        <w:rPr>
          <w:rFonts w:cs="Calibri"/>
          <w:sz w:val="18"/>
          <w:szCs w:val="18"/>
          <w:lang w:val="en-GB"/>
        </w:rPr>
        <w:t xml:space="preserve"> g</w:t>
      </w:r>
      <w:r w:rsidRPr="00094841">
        <w:rPr>
          <w:rFonts w:cs="Calibri"/>
          <w:sz w:val="18"/>
          <w:szCs w:val="18"/>
          <w:lang w:val="en-GB"/>
        </w:rPr>
        <w:t>reen cells indicate higher values, signifying strong participation and centrality within the network.</w:t>
      </w:r>
      <w:r w:rsidR="00825E19" w:rsidRPr="00094841">
        <w:rPr>
          <w:rFonts w:cs="Calibri"/>
          <w:sz w:val="18"/>
          <w:szCs w:val="18"/>
          <w:lang w:val="en-GB"/>
        </w:rPr>
        <w:t xml:space="preserve"> </w:t>
      </w:r>
      <w:r w:rsidRPr="00094841">
        <w:rPr>
          <w:rFonts w:cs="Calibri"/>
          <w:sz w:val="18"/>
          <w:szCs w:val="18"/>
          <w:lang w:val="en-GB"/>
        </w:rPr>
        <w:t>Red cells highlight lower values, pointing to weaker integration and limited engagement in Horizon Europe projects.</w:t>
      </w:r>
    </w:p>
    <w:bookmarkEnd w:id="20"/>
    <w:p w14:paraId="0E9C13B1" w14:textId="77777777" w:rsidR="00825E19" w:rsidRPr="00516C1F" w:rsidRDefault="00825E19" w:rsidP="00FC3E1B">
      <w:pPr>
        <w:rPr>
          <w:rFonts w:cs="Calibri"/>
          <w:sz w:val="20"/>
          <w:szCs w:val="20"/>
          <w:lang w:val="en-GB"/>
        </w:rPr>
      </w:pPr>
    </w:p>
    <w:p w14:paraId="60A6783B" w14:textId="6D9BE04B" w:rsidR="002821DA" w:rsidRPr="00516C1F" w:rsidRDefault="00B07451" w:rsidP="008B4290">
      <w:pPr>
        <w:pStyle w:val="Heading3"/>
        <w:numPr>
          <w:ilvl w:val="2"/>
          <w:numId w:val="2"/>
        </w:numPr>
        <w:rPr>
          <w:lang w:val="en-GB"/>
        </w:rPr>
      </w:pPr>
      <w:bookmarkStart w:id="21" w:name="_Toc208824195"/>
      <w:r w:rsidRPr="00516C1F">
        <w:rPr>
          <w:lang w:val="en-GB"/>
        </w:rPr>
        <w:t>Research cooperation</w:t>
      </w:r>
      <w:r w:rsidR="00320C97" w:rsidRPr="00516C1F">
        <w:rPr>
          <w:lang w:val="en-GB"/>
        </w:rPr>
        <w:t xml:space="preserve"> in </w:t>
      </w:r>
      <w:r w:rsidR="00A81C95" w:rsidRPr="00516C1F">
        <w:rPr>
          <w:lang w:val="en-GB"/>
        </w:rPr>
        <w:t>Climate and Energy a</w:t>
      </w:r>
      <w:r w:rsidR="00320C97" w:rsidRPr="00516C1F">
        <w:rPr>
          <w:lang w:val="en-GB"/>
        </w:rPr>
        <w:t>rea</w:t>
      </w:r>
      <w:bookmarkEnd w:id="21"/>
      <w:r w:rsidR="00A81C95" w:rsidRPr="00516C1F">
        <w:rPr>
          <w:lang w:val="en-GB"/>
        </w:rPr>
        <w:t xml:space="preserve"> </w:t>
      </w:r>
    </w:p>
    <w:p w14:paraId="36FEB0EA" w14:textId="74CC2AF3" w:rsidR="006B5676" w:rsidRPr="00516C1F" w:rsidRDefault="00895ED7" w:rsidP="00283564">
      <w:pPr>
        <w:jc w:val="both"/>
        <w:rPr>
          <w:rFonts w:cs="Calibri"/>
          <w:lang w:val="en-GB"/>
        </w:rPr>
      </w:pPr>
      <w:r w:rsidRPr="00094841">
        <w:rPr>
          <w:rFonts w:cs="Calibri"/>
          <w:lang w:val="en-GB"/>
        </w:rPr>
        <w:t xml:space="preserve">As in the ICT </w:t>
      </w:r>
      <w:r w:rsidR="00754F47" w:rsidRPr="00094841">
        <w:rPr>
          <w:rFonts w:cs="Calibri"/>
          <w:lang w:val="en-GB"/>
        </w:rPr>
        <w:t xml:space="preserve">and Digitalisation </w:t>
      </w:r>
      <w:r w:rsidRPr="00094841">
        <w:rPr>
          <w:rFonts w:cs="Calibri"/>
          <w:lang w:val="en-GB"/>
        </w:rPr>
        <w:t>research domain, the Climate and Energy collaboration network in the Danube Region also exhibits a robust structure, highlighting the presence of strong cooperative ties among organizations engaged in Horizon Europe projects.</w:t>
      </w:r>
      <w:r w:rsidRPr="00516C1F">
        <w:rPr>
          <w:rFonts w:cs="Calibri"/>
          <w:lang w:val="en-GB"/>
        </w:rPr>
        <w:t xml:space="preserve"> However, compared to the ICT </w:t>
      </w:r>
      <w:r w:rsidR="00754F47" w:rsidRPr="00516C1F">
        <w:rPr>
          <w:rFonts w:cs="Calibri"/>
          <w:lang w:val="en-GB"/>
        </w:rPr>
        <w:t xml:space="preserve">and Digitalisation </w:t>
      </w:r>
      <w:r w:rsidRPr="00516C1F">
        <w:rPr>
          <w:rFonts w:cs="Calibri"/>
          <w:lang w:val="en-GB"/>
        </w:rPr>
        <w:lastRenderedPageBreak/>
        <w:t>network, this collaboration network is less dense, with fewer participating organizations and projects, indicating a relatively lower level of interconnectedness</w:t>
      </w:r>
      <w:r w:rsidR="0005147B" w:rsidRPr="00516C1F">
        <w:rPr>
          <w:rFonts w:cs="Calibri"/>
          <w:lang w:val="en-GB"/>
        </w:rPr>
        <w:t xml:space="preserve">. </w:t>
      </w:r>
    </w:p>
    <w:p w14:paraId="3588083A" w14:textId="27DC8F10" w:rsidR="00CF4CCC" w:rsidRPr="00516C1F" w:rsidRDefault="005864F4" w:rsidP="00CF4CCC">
      <w:pPr>
        <w:jc w:val="both"/>
        <w:rPr>
          <w:rFonts w:cs="Calibri"/>
          <w:lang w:val="en-GB"/>
        </w:rPr>
      </w:pPr>
      <w:r>
        <w:rPr>
          <w:rFonts w:cs="Calibri"/>
          <w:lang w:val="en-GB"/>
        </w:rPr>
        <w:t xml:space="preserve">There is </w:t>
      </w:r>
      <w:r w:rsidR="00CF4CCC" w:rsidRPr="00516C1F">
        <w:rPr>
          <w:rFonts w:cs="Calibri"/>
          <w:lang w:val="en-GB"/>
        </w:rPr>
        <w:t xml:space="preserve">the prominence of a few central organizations that act as significant hubs within the network. </w:t>
      </w:r>
      <w:r w:rsidR="004E3B08" w:rsidRPr="00516C1F">
        <w:rPr>
          <w:rFonts w:cs="Calibri"/>
          <w:lang w:val="en-GB"/>
        </w:rPr>
        <w:t>Fraunhofer Society for the Promotion of Applied Research</w:t>
      </w:r>
      <w:r w:rsidR="00CF4CCC" w:rsidRPr="00516C1F">
        <w:rPr>
          <w:rFonts w:cs="Calibri"/>
          <w:lang w:val="en-GB"/>
        </w:rPr>
        <w:t xml:space="preserve"> (</w:t>
      </w:r>
      <w:r w:rsidR="004E3B08" w:rsidRPr="00516C1F">
        <w:rPr>
          <w:rFonts w:cs="Calibri"/>
          <w:lang w:val="en-GB"/>
        </w:rPr>
        <w:t>Germany</w:t>
      </w:r>
      <w:r w:rsidR="00CF4CCC" w:rsidRPr="00516C1F">
        <w:rPr>
          <w:rFonts w:cs="Calibri"/>
          <w:lang w:val="en-GB"/>
        </w:rPr>
        <w:t xml:space="preserve">) and the </w:t>
      </w:r>
      <w:r w:rsidR="004E3B08" w:rsidRPr="00516C1F">
        <w:rPr>
          <w:rFonts w:cs="Calibri"/>
          <w:lang w:val="en-GB"/>
        </w:rPr>
        <w:t>Karlsruhe Institute of Technology (Germany)</w:t>
      </w:r>
      <w:r w:rsidR="00CF4CCC" w:rsidRPr="00516C1F">
        <w:rPr>
          <w:rFonts w:cs="Calibri"/>
          <w:lang w:val="en-GB"/>
        </w:rPr>
        <w:t xml:space="preserve"> stand out as the most </w:t>
      </w:r>
      <w:r w:rsidR="00CA4350">
        <w:rPr>
          <w:rFonts w:cs="Calibri"/>
          <w:lang w:val="en-GB"/>
        </w:rPr>
        <w:t>visible</w:t>
      </w:r>
      <w:r w:rsidR="00CF4CCC" w:rsidRPr="00516C1F">
        <w:rPr>
          <w:rFonts w:cs="Calibri"/>
          <w:lang w:val="en-GB"/>
        </w:rPr>
        <w:t xml:space="preserve"> institutions, as indicated by their large node sizes and extensive connectivity</w:t>
      </w:r>
      <w:r w:rsidR="00230257" w:rsidRPr="00516C1F">
        <w:rPr>
          <w:rFonts w:cs="Calibri"/>
          <w:lang w:val="en-GB"/>
        </w:rPr>
        <w:t xml:space="preserve"> (Figure </w:t>
      </w:r>
      <w:r w:rsidR="0091370A">
        <w:rPr>
          <w:rFonts w:cs="Calibri"/>
          <w:lang w:val="en-GB"/>
        </w:rPr>
        <w:t>7</w:t>
      </w:r>
      <w:r w:rsidR="00230257" w:rsidRPr="00516C1F">
        <w:rPr>
          <w:rFonts w:cs="Calibri"/>
          <w:lang w:val="en-GB"/>
        </w:rPr>
        <w:t>)</w:t>
      </w:r>
      <w:r w:rsidR="00CF4CCC" w:rsidRPr="00516C1F">
        <w:rPr>
          <w:rFonts w:cs="Calibri"/>
          <w:lang w:val="en-GB"/>
        </w:rPr>
        <w:t xml:space="preserve">. These institutions not only lead in the number of collaborations but also play </w:t>
      </w:r>
      <w:r w:rsidR="004E3B08" w:rsidRPr="00516C1F">
        <w:rPr>
          <w:rFonts w:cs="Calibri"/>
          <w:lang w:val="en-GB"/>
        </w:rPr>
        <w:t>an important</w:t>
      </w:r>
      <w:r w:rsidR="00CF4CCC" w:rsidRPr="00516C1F">
        <w:rPr>
          <w:rFonts w:cs="Calibri"/>
          <w:lang w:val="en-GB"/>
        </w:rPr>
        <w:t xml:space="preserve"> role in bridging various clusters of organizations, facilitating communication and resource sharing across the network. </w:t>
      </w:r>
    </w:p>
    <w:p w14:paraId="60CD04F9" w14:textId="0E4A5EC9" w:rsidR="00CF4CCC" w:rsidRPr="00516C1F" w:rsidRDefault="00170FB6" w:rsidP="00E340B5">
      <w:pPr>
        <w:jc w:val="both"/>
        <w:rPr>
          <w:rFonts w:cs="Calibri"/>
          <w:lang w:val="en-GB"/>
        </w:rPr>
      </w:pPr>
      <w:r w:rsidRPr="00170FB6">
        <w:rPr>
          <w:rFonts w:cs="Calibri"/>
          <w:lang w:val="en-GB"/>
        </w:rPr>
        <w:t>The visualization highlights the geographical distribution of collaboration across the region. Germany and Austria dominate the network, with several organizations occupying central positions, while actors from Moldova, Montenegro, and Bosnia and Herzegovina appear largely at the periphery. This points to an imbalance in collaboration intensity, where well-funded institutions from stronger research systems concentrate at the core, whereas smaller organizations from emerging economies remain less integrated into the network</w:t>
      </w:r>
      <w:r w:rsidR="00CF4CCC" w:rsidRPr="00516C1F">
        <w:rPr>
          <w:rFonts w:cs="Calibri"/>
          <w:lang w:val="en-GB"/>
        </w:rPr>
        <w:t>.</w:t>
      </w:r>
    </w:p>
    <w:p w14:paraId="06934025" w14:textId="01BB5108" w:rsidR="00A945A8" w:rsidRPr="00516C1F" w:rsidRDefault="0097395A" w:rsidP="00447C7C">
      <w:pPr>
        <w:jc w:val="both"/>
        <w:rPr>
          <w:rFonts w:cs="Calibri"/>
          <w:lang w:val="en-GB"/>
        </w:rPr>
      </w:pPr>
      <w:r w:rsidRPr="00516C1F">
        <w:rPr>
          <w:rFonts w:cs="Calibri"/>
          <w:b/>
          <w:bCs/>
          <w:lang w:val="en-GB"/>
        </w:rPr>
        <w:t>Figure</w:t>
      </w:r>
      <w:r w:rsidR="00EC2035" w:rsidRPr="00516C1F">
        <w:rPr>
          <w:rFonts w:cs="Calibri"/>
          <w:b/>
          <w:bCs/>
          <w:lang w:val="en-GB"/>
        </w:rPr>
        <w:t xml:space="preserve"> </w:t>
      </w:r>
      <w:r w:rsidR="0091370A">
        <w:rPr>
          <w:rFonts w:cs="Calibri"/>
          <w:b/>
          <w:bCs/>
          <w:lang w:val="en-GB"/>
        </w:rPr>
        <w:t>7</w:t>
      </w:r>
      <w:r w:rsidRPr="00516C1F">
        <w:rPr>
          <w:rFonts w:cs="Calibri"/>
          <w:lang w:val="en-GB"/>
        </w:rPr>
        <w:t xml:space="preserve">: </w:t>
      </w:r>
      <w:r w:rsidR="00C74B4E" w:rsidRPr="00516C1F">
        <w:rPr>
          <w:rFonts w:cs="Calibri"/>
          <w:lang w:val="en-GB"/>
        </w:rPr>
        <w:t xml:space="preserve">Climate and Energy </w:t>
      </w:r>
      <w:r w:rsidR="005864F4">
        <w:rPr>
          <w:rFonts w:cs="Calibri"/>
          <w:lang w:val="en-GB"/>
        </w:rPr>
        <w:t>A</w:t>
      </w:r>
      <w:r w:rsidR="00C74B4E" w:rsidRPr="00516C1F">
        <w:rPr>
          <w:rFonts w:cs="Calibri"/>
          <w:lang w:val="en-GB"/>
        </w:rPr>
        <w:t>rea</w:t>
      </w:r>
      <w:r w:rsidR="00A16B6F" w:rsidRPr="00516C1F">
        <w:rPr>
          <w:rFonts w:cs="Calibri"/>
          <w:lang w:val="en-GB"/>
        </w:rPr>
        <w:t xml:space="preserve"> </w:t>
      </w:r>
      <w:r w:rsidR="005864F4" w:rsidRPr="005864F4">
        <w:rPr>
          <w:rFonts w:cs="Calibri"/>
          <w:lang w:val="en-GB"/>
        </w:rPr>
        <w:t>Cooperation Network in the Danube Region (Horizon Europe)</w:t>
      </w:r>
    </w:p>
    <w:p w14:paraId="35B5F8C0" w14:textId="69075C06" w:rsidR="00D74C04" w:rsidRPr="00516C1F" w:rsidRDefault="006B5676" w:rsidP="009E41A6">
      <w:pPr>
        <w:jc w:val="both"/>
        <w:rPr>
          <w:rFonts w:cs="Calibri"/>
          <w:lang w:val="en-GB"/>
        </w:rPr>
      </w:pPr>
      <w:r w:rsidRPr="00516C1F">
        <w:rPr>
          <w:rFonts w:cs="Calibri"/>
          <w:noProof/>
          <w:lang w:val="en-GB"/>
        </w:rPr>
        <w:drawing>
          <wp:inline distT="0" distB="0" distL="0" distR="0" wp14:anchorId="2C5A9D47" wp14:editId="3C53DA0D">
            <wp:extent cx="5943600" cy="2925445"/>
            <wp:effectExtent l="0" t="0" r="0" b="8255"/>
            <wp:docPr id="1543914738" name="Picture 1" descr="A network of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14738" name="Picture 1" descr="A network of dots and lin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pic:spPr>
                </pic:pic>
              </a:graphicData>
            </a:graphic>
          </wp:inline>
        </w:drawing>
      </w:r>
    </w:p>
    <w:p w14:paraId="7D81A684" w14:textId="77777777" w:rsidR="00A7690D" w:rsidRPr="00516C1F" w:rsidRDefault="00A7690D" w:rsidP="00A7690D">
      <w:pPr>
        <w:spacing w:after="0"/>
        <w:jc w:val="center"/>
        <w:rPr>
          <w:lang w:val="en-GB"/>
        </w:rPr>
      </w:pPr>
      <w:r>
        <w:rPr>
          <w:noProof/>
          <w:lang w:val="en-GB"/>
        </w:rPr>
        <w:drawing>
          <wp:inline distT="0" distB="0" distL="0" distR="0" wp14:anchorId="71DE1B8C" wp14:editId="70D3C4F7">
            <wp:extent cx="1298659" cy="480060"/>
            <wp:effectExtent l="0" t="0" r="0" b="0"/>
            <wp:docPr id="2121420019" name="Picture 34" descr="A group of circles with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40931" name="Picture 34" descr="A group of circles with different colo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4313" cy="489543"/>
                    </a:xfrm>
                    <a:prstGeom prst="rect">
                      <a:avLst/>
                    </a:prstGeom>
                  </pic:spPr>
                </pic:pic>
              </a:graphicData>
            </a:graphic>
          </wp:inline>
        </w:drawing>
      </w:r>
    </w:p>
    <w:p w14:paraId="36BA1A2A" w14:textId="4A914B46" w:rsidR="00463BED" w:rsidRPr="005F26B3" w:rsidRDefault="005216E7" w:rsidP="00E7776F">
      <w:pPr>
        <w:jc w:val="center"/>
        <w:rPr>
          <w:rFonts w:cs="Calibri"/>
          <w:sz w:val="18"/>
          <w:szCs w:val="18"/>
          <w:lang w:val="en-GB"/>
        </w:rPr>
      </w:pPr>
      <w:r w:rsidRPr="005F26B3">
        <w:rPr>
          <w:rFonts w:cs="Calibri"/>
          <w:sz w:val="18"/>
          <w:szCs w:val="18"/>
          <w:lang w:val="en-GB"/>
        </w:rPr>
        <w:t xml:space="preserve">Source: </w:t>
      </w:r>
      <w:r w:rsidR="00E7776F" w:rsidRPr="005F26B3">
        <w:rPr>
          <w:rFonts w:cs="Calibri"/>
          <w:sz w:val="18"/>
          <w:szCs w:val="18"/>
          <w:lang w:val="en-GB"/>
        </w:rPr>
        <w:t xml:space="preserve">Author's visualization using </w:t>
      </w:r>
      <w:proofErr w:type="spellStart"/>
      <w:r w:rsidR="00E7776F" w:rsidRPr="005F26B3">
        <w:rPr>
          <w:rFonts w:cs="Calibri"/>
          <w:sz w:val="18"/>
          <w:szCs w:val="18"/>
          <w:lang w:val="en-GB"/>
        </w:rPr>
        <w:t>Pajek</w:t>
      </w:r>
      <w:proofErr w:type="spellEnd"/>
      <w:r w:rsidR="00E7776F" w:rsidRPr="005F26B3">
        <w:rPr>
          <w:rFonts w:cs="Calibri"/>
          <w:sz w:val="18"/>
          <w:szCs w:val="18"/>
          <w:lang w:val="en-GB"/>
        </w:rPr>
        <w:t xml:space="preserve"> software</w:t>
      </w:r>
    </w:p>
    <w:p w14:paraId="36E2784F" w14:textId="50785121" w:rsidR="000D6F47" w:rsidRPr="00516C1F" w:rsidRDefault="008E5B31" w:rsidP="003803B8">
      <w:pPr>
        <w:jc w:val="both"/>
        <w:rPr>
          <w:rFonts w:cs="Calibri"/>
          <w:lang w:val="en-GB"/>
        </w:rPr>
      </w:pPr>
      <w:r w:rsidRPr="008E5B31">
        <w:rPr>
          <w:rFonts w:cs="Calibri"/>
          <w:lang w:val="en-GB"/>
        </w:rPr>
        <w:t xml:space="preserve">The table </w:t>
      </w:r>
      <w:r>
        <w:rPr>
          <w:rFonts w:cs="Calibri"/>
          <w:lang w:val="en-GB"/>
        </w:rPr>
        <w:t>5</w:t>
      </w:r>
      <w:r w:rsidRPr="008E5B31">
        <w:rPr>
          <w:rFonts w:cs="Calibri"/>
          <w:lang w:val="en-GB"/>
        </w:rPr>
        <w:t xml:space="preserve"> It lists the organizations involved</w:t>
      </w:r>
      <w:r w:rsidR="003803B8">
        <w:rPr>
          <w:rFonts w:cs="Calibri"/>
          <w:lang w:val="en-GB"/>
        </w:rPr>
        <w:t xml:space="preserve"> in the </w:t>
      </w:r>
      <w:r w:rsidR="003803B8" w:rsidRPr="003803B8">
        <w:rPr>
          <w:rFonts w:cs="Calibri"/>
          <w:lang w:val="en-GB"/>
        </w:rPr>
        <w:t xml:space="preserve">Climate and Energy </w:t>
      </w:r>
      <w:r w:rsidR="003803B8">
        <w:rPr>
          <w:rFonts w:cs="Calibri"/>
          <w:lang w:val="en-GB"/>
        </w:rPr>
        <w:t>ar</w:t>
      </w:r>
      <w:r w:rsidR="003803B8" w:rsidRPr="003803B8">
        <w:rPr>
          <w:rFonts w:cs="Calibri"/>
          <w:lang w:val="en-GB"/>
        </w:rPr>
        <w:t xml:space="preserve">ea </w:t>
      </w:r>
      <w:r w:rsidR="003803B8">
        <w:rPr>
          <w:rFonts w:cs="Calibri"/>
          <w:lang w:val="en-GB"/>
        </w:rPr>
        <w:t>c</w:t>
      </w:r>
      <w:r w:rsidR="003803B8" w:rsidRPr="003803B8">
        <w:rPr>
          <w:rFonts w:cs="Calibri"/>
          <w:lang w:val="en-GB"/>
        </w:rPr>
        <w:t xml:space="preserve">ooperation </w:t>
      </w:r>
      <w:r w:rsidR="003803B8">
        <w:rPr>
          <w:rFonts w:cs="Calibri"/>
          <w:lang w:val="en-GB"/>
        </w:rPr>
        <w:t>n</w:t>
      </w:r>
      <w:r w:rsidR="003803B8" w:rsidRPr="003803B8">
        <w:rPr>
          <w:rFonts w:cs="Calibri"/>
          <w:lang w:val="en-GB"/>
        </w:rPr>
        <w:t>etwork</w:t>
      </w:r>
      <w:r w:rsidRPr="008E5B31">
        <w:rPr>
          <w:rFonts w:cs="Calibri"/>
          <w:lang w:val="en-GB"/>
        </w:rPr>
        <w:t>, their number of project participations, and three centrality indicators: degree centrality, closeness centrality, and betweenness centrality.</w:t>
      </w:r>
      <w:r w:rsidR="003803B8">
        <w:rPr>
          <w:rFonts w:cs="Calibri"/>
          <w:lang w:val="en-GB"/>
        </w:rPr>
        <w:t xml:space="preserve"> </w:t>
      </w:r>
      <w:r w:rsidR="000D6F47" w:rsidRPr="00516C1F">
        <w:rPr>
          <w:rFonts w:cs="Calibri"/>
          <w:lang w:val="en-GB"/>
        </w:rPr>
        <w:t>The Fraunhofer Society for the Promotion of Applied Research (Germany) leads the table with 75 projects, followed by the Karlsruhe Institute of Technology (Germany) with 29 and the University of Natural Resources and Life Sciences, Vienna (Austria) with 25. These institutions demonstrate strong capacities in securing funding and active engagement in collaborative research.</w:t>
      </w:r>
      <w:r w:rsidR="001B3380" w:rsidRPr="00516C1F">
        <w:rPr>
          <w:rFonts w:cs="Calibri"/>
          <w:lang w:val="en-GB"/>
        </w:rPr>
        <w:t xml:space="preserve"> </w:t>
      </w:r>
      <w:r w:rsidR="000D6F47" w:rsidRPr="00516C1F">
        <w:rPr>
          <w:rFonts w:cs="Calibri"/>
          <w:lang w:val="en-GB"/>
        </w:rPr>
        <w:lastRenderedPageBreak/>
        <w:t xml:space="preserve">Interestingly, many organizations with fewer total projects, such as the Jožef Stefan Institute (Slovenia) and the </w:t>
      </w:r>
      <w:proofErr w:type="spellStart"/>
      <w:r w:rsidR="000D6F47" w:rsidRPr="00516C1F">
        <w:rPr>
          <w:rFonts w:cs="Calibri"/>
          <w:lang w:val="en-GB"/>
        </w:rPr>
        <w:t>Ruđer</w:t>
      </w:r>
      <w:proofErr w:type="spellEnd"/>
      <w:r w:rsidR="000D6F47" w:rsidRPr="00516C1F">
        <w:rPr>
          <w:rFonts w:cs="Calibri"/>
          <w:lang w:val="en-GB"/>
        </w:rPr>
        <w:t xml:space="preserve"> Bošković Institute (Croatia), maintain notable positions in centrality measures, highlighting the importance of not only the quantity of participation but also the quality and connectivity of their collaborations.</w:t>
      </w:r>
    </w:p>
    <w:p w14:paraId="7CF4BB11" w14:textId="77777777" w:rsidR="00EE3B5E" w:rsidRPr="005F26B3" w:rsidRDefault="00EE3B5E" w:rsidP="00EE3B5E">
      <w:pPr>
        <w:jc w:val="both"/>
        <w:rPr>
          <w:rFonts w:cs="Calibri"/>
          <w:i/>
          <w:iCs/>
          <w:u w:val="single"/>
          <w:lang w:val="en-GB"/>
        </w:rPr>
      </w:pPr>
      <w:r w:rsidRPr="005F26B3">
        <w:rPr>
          <w:rFonts w:cs="Calibri"/>
          <w:i/>
          <w:iCs/>
          <w:u w:val="single"/>
          <w:lang w:val="en-GB"/>
        </w:rPr>
        <w:t>Degree Centrality</w:t>
      </w:r>
    </w:p>
    <w:p w14:paraId="0BAB41FD" w14:textId="32CD3801" w:rsidR="00EE3B5E" w:rsidRPr="00516C1F" w:rsidRDefault="00EE3B5E" w:rsidP="00C34203">
      <w:pPr>
        <w:jc w:val="both"/>
        <w:rPr>
          <w:rFonts w:cs="Calibri"/>
          <w:lang w:val="en-GB"/>
        </w:rPr>
      </w:pPr>
      <w:r w:rsidRPr="00516C1F">
        <w:rPr>
          <w:rFonts w:cs="Calibri"/>
          <w:lang w:val="en-GB"/>
        </w:rPr>
        <w:t xml:space="preserve">The University of Natural Resources and Life Sciences, Vienna </w:t>
      </w:r>
      <w:r w:rsidR="00514E07" w:rsidRPr="00516C1F">
        <w:rPr>
          <w:rFonts w:cs="Calibri"/>
          <w:lang w:val="en-GB"/>
        </w:rPr>
        <w:t xml:space="preserve">(BOKU) </w:t>
      </w:r>
      <w:r w:rsidRPr="00516C1F">
        <w:rPr>
          <w:rFonts w:cs="Calibri"/>
          <w:lang w:val="en-GB"/>
        </w:rPr>
        <w:t xml:space="preserve">stands out with the highest degree centrality (29), indicating its extensive direct partnerships. Similarly, the </w:t>
      </w:r>
      <w:r w:rsidR="00C31FD4" w:rsidRPr="00516C1F">
        <w:rPr>
          <w:rFonts w:cs="Calibri"/>
          <w:lang w:val="en-GB"/>
        </w:rPr>
        <w:t xml:space="preserve">Fraunhofer Society for the Promotion of Applied Research </w:t>
      </w:r>
      <w:r w:rsidRPr="00516C1F">
        <w:rPr>
          <w:rFonts w:cs="Calibri"/>
          <w:lang w:val="en-GB"/>
        </w:rPr>
        <w:t>(26) and the Karlsruhe Institute of Technology (20) also exhibit high degree centrality, reinforcing their hub-like roles in the network. On the other side, the National Institute for Research and Development in the Danube Delta (Romania) and the Executive Agency for Exploration and Maintenance of the Danube (Bulgaria), demonstrate lower degree centrality values. This suggests that while they participate in significant projects, they maintain a limited number of direct collaborative links, potentially restricting their influence within the network.</w:t>
      </w:r>
    </w:p>
    <w:p w14:paraId="440F4301" w14:textId="77777777" w:rsidR="00EE3B5E" w:rsidRPr="005F26B3" w:rsidRDefault="00EE3B5E" w:rsidP="00EE3B5E">
      <w:pPr>
        <w:rPr>
          <w:rFonts w:cs="Calibri"/>
          <w:i/>
          <w:iCs/>
          <w:u w:val="single"/>
          <w:lang w:val="en-GB"/>
        </w:rPr>
      </w:pPr>
      <w:r w:rsidRPr="005F26B3">
        <w:rPr>
          <w:rFonts w:cs="Calibri"/>
          <w:i/>
          <w:iCs/>
          <w:u w:val="single"/>
          <w:lang w:val="en-GB"/>
        </w:rPr>
        <w:t>Closeness Centrality</w:t>
      </w:r>
    </w:p>
    <w:p w14:paraId="0C630D09" w14:textId="76FF0005" w:rsidR="00EE3B5E" w:rsidRPr="00516C1F" w:rsidRDefault="00EE3B5E" w:rsidP="00C34203">
      <w:pPr>
        <w:jc w:val="both"/>
        <w:rPr>
          <w:rFonts w:cs="Calibri"/>
          <w:lang w:val="en-GB"/>
        </w:rPr>
      </w:pPr>
      <w:r w:rsidRPr="00516C1F">
        <w:rPr>
          <w:rFonts w:cs="Calibri"/>
          <w:lang w:val="en-GB"/>
        </w:rPr>
        <w:t xml:space="preserve">The </w:t>
      </w:r>
      <w:r w:rsidR="00C31FD4" w:rsidRPr="00516C1F">
        <w:rPr>
          <w:rFonts w:cs="Calibri"/>
          <w:lang w:val="en-GB"/>
        </w:rPr>
        <w:t xml:space="preserve">Fraunhofer Society for the Promotion of Applied Research </w:t>
      </w:r>
      <w:r w:rsidRPr="00516C1F">
        <w:rPr>
          <w:rFonts w:cs="Calibri"/>
          <w:lang w:val="en-GB"/>
        </w:rPr>
        <w:t xml:space="preserve">(0.545) leads this metric, underlining its role as a central and well-integrated entity in the network. </w:t>
      </w:r>
      <w:r w:rsidR="00C31FD4" w:rsidRPr="00516C1F">
        <w:rPr>
          <w:rFonts w:cs="Calibri"/>
          <w:lang w:val="en-GB"/>
        </w:rPr>
        <w:t>I</w:t>
      </w:r>
      <w:r w:rsidRPr="00516C1F">
        <w:rPr>
          <w:rFonts w:cs="Calibri"/>
          <w:lang w:val="en-GB"/>
        </w:rPr>
        <w:t>nstitutions like the University of Natural Resources and Life Sciences, Vienna (0.504) and the University of Vienna (0.500) are also strategically well-placed, enabling them to efficiently disseminate knowledge and collaborate across the network. An interesting observation is the high closeness centrality of organizations like the Jožef Stefan Institute (Slovenia) and the National Institute for Research and Development in the Danube Delta (Romania), despite their relatively lower project participation. This suggests that these institutions occupy strategically advantageous positions, allowing them to act as key facilitators of collaboration.</w:t>
      </w:r>
    </w:p>
    <w:p w14:paraId="4EF7BEDA" w14:textId="77777777" w:rsidR="00EE3B5E" w:rsidRPr="005F26B3" w:rsidRDefault="00EE3B5E" w:rsidP="00EE3B5E">
      <w:pPr>
        <w:rPr>
          <w:rFonts w:cs="Calibri"/>
          <w:i/>
          <w:iCs/>
          <w:u w:val="single"/>
          <w:lang w:val="en-GB"/>
        </w:rPr>
      </w:pPr>
      <w:r w:rsidRPr="005F26B3">
        <w:rPr>
          <w:rFonts w:cs="Calibri"/>
          <w:i/>
          <w:iCs/>
          <w:u w:val="single"/>
          <w:lang w:val="en-GB"/>
        </w:rPr>
        <w:t>Betweenness Centrality</w:t>
      </w:r>
    </w:p>
    <w:p w14:paraId="11618DF6" w14:textId="0F0515BB" w:rsidR="00EE3B5E" w:rsidRPr="00516C1F" w:rsidRDefault="00EE3B5E" w:rsidP="00EE3B5E">
      <w:pPr>
        <w:jc w:val="both"/>
        <w:rPr>
          <w:rFonts w:cs="Calibri"/>
          <w:lang w:val="en-GB"/>
        </w:rPr>
      </w:pPr>
      <w:r w:rsidRPr="00516C1F">
        <w:rPr>
          <w:rFonts w:cs="Calibri"/>
          <w:lang w:val="en-GB"/>
        </w:rPr>
        <w:t xml:space="preserve">The </w:t>
      </w:r>
      <w:r w:rsidR="00C31FD4" w:rsidRPr="00516C1F">
        <w:rPr>
          <w:rFonts w:cs="Calibri"/>
          <w:lang w:val="en-GB"/>
        </w:rPr>
        <w:t xml:space="preserve">Fraunhofer Society for the Promotion of Applied Research </w:t>
      </w:r>
      <w:r w:rsidRPr="00516C1F">
        <w:rPr>
          <w:rFonts w:cs="Calibri"/>
          <w:lang w:val="en-GB"/>
        </w:rPr>
        <w:t xml:space="preserve">(0.264) and the Karlsruhe Institute of Technology (0.162) exhibit the highest betweenness values, indicating their critical roles as intermediaries in connecting different clusters within the network. </w:t>
      </w:r>
      <w:r w:rsidR="00C31FD4" w:rsidRPr="00516C1F">
        <w:rPr>
          <w:rFonts w:cs="Calibri"/>
          <w:lang w:val="en-GB"/>
        </w:rPr>
        <w:t>T</w:t>
      </w:r>
      <w:r w:rsidRPr="00516C1F">
        <w:rPr>
          <w:rFonts w:cs="Calibri"/>
          <w:lang w:val="en-GB"/>
        </w:rPr>
        <w:t xml:space="preserve">he Jožef Stefan Institute (Slovenia) and the </w:t>
      </w:r>
      <w:proofErr w:type="spellStart"/>
      <w:r w:rsidRPr="00516C1F">
        <w:rPr>
          <w:rFonts w:cs="Calibri"/>
          <w:lang w:val="en-GB"/>
        </w:rPr>
        <w:t>Ruđer</w:t>
      </w:r>
      <w:proofErr w:type="spellEnd"/>
      <w:r w:rsidRPr="00516C1F">
        <w:rPr>
          <w:rFonts w:cs="Calibri"/>
          <w:lang w:val="en-GB"/>
        </w:rPr>
        <w:t xml:space="preserve"> Bošković Institute (Croatia) also show relatively high betweenness values despite fewer project participations, suggesting that they play key bridging roles in connecting central parts of the network to larger hubs. This highlights their importance in promoting inclusivity and knowledge-sharing across the region.</w:t>
      </w:r>
    </w:p>
    <w:p w14:paraId="528BBE3F" w14:textId="25127630" w:rsidR="000D6F47" w:rsidRPr="00516C1F" w:rsidRDefault="00EE3B5E" w:rsidP="000D6F47">
      <w:pPr>
        <w:jc w:val="both"/>
        <w:rPr>
          <w:rFonts w:cs="Calibri"/>
          <w:lang w:val="en-GB"/>
        </w:rPr>
      </w:pPr>
      <w:r w:rsidRPr="00516C1F">
        <w:rPr>
          <w:rFonts w:cs="Calibri"/>
          <w:b/>
          <w:bCs/>
          <w:lang w:val="en-GB"/>
        </w:rPr>
        <w:t>Table</w:t>
      </w:r>
      <w:r w:rsidR="00230257" w:rsidRPr="00516C1F">
        <w:rPr>
          <w:rFonts w:cs="Calibri"/>
          <w:b/>
          <w:bCs/>
          <w:lang w:val="en-GB"/>
        </w:rPr>
        <w:t xml:space="preserve"> </w:t>
      </w:r>
      <w:r w:rsidR="008E5B31">
        <w:rPr>
          <w:rFonts w:cs="Calibri"/>
          <w:b/>
          <w:bCs/>
          <w:lang w:val="en-GB"/>
        </w:rPr>
        <w:t>5</w:t>
      </w:r>
      <w:r w:rsidRPr="00516C1F">
        <w:rPr>
          <w:rFonts w:cs="Calibri"/>
          <w:lang w:val="en-GB"/>
        </w:rPr>
        <w:t xml:space="preserve">: </w:t>
      </w:r>
      <w:r w:rsidR="00F825A1" w:rsidRPr="00516C1F">
        <w:rPr>
          <w:rFonts w:cs="Calibri"/>
          <w:lang w:val="en-GB"/>
        </w:rPr>
        <w:t>Key Indicators from the Social Network Analysis of Environmental Research in the Danube Region</w:t>
      </w:r>
    </w:p>
    <w:tbl>
      <w:tblPr>
        <w:tblW w:w="0" w:type="auto"/>
        <w:tblLayout w:type="fixed"/>
        <w:tblCellMar>
          <w:left w:w="57" w:type="dxa"/>
          <w:right w:w="57" w:type="dxa"/>
        </w:tblCellMar>
        <w:tblLook w:val="04A0" w:firstRow="1" w:lastRow="0" w:firstColumn="1" w:lastColumn="0" w:noHBand="0" w:noVBand="1"/>
      </w:tblPr>
      <w:tblGrid>
        <w:gridCol w:w="400"/>
        <w:gridCol w:w="4557"/>
        <w:gridCol w:w="992"/>
        <w:gridCol w:w="1134"/>
        <w:gridCol w:w="1134"/>
        <w:gridCol w:w="1133"/>
      </w:tblGrid>
      <w:tr w:rsidR="0000191D" w:rsidRPr="00516C1F" w14:paraId="662F5544" w14:textId="77777777" w:rsidTr="001128B2">
        <w:trPr>
          <w:trHeight w:val="470"/>
        </w:trPr>
        <w:tc>
          <w:tcPr>
            <w:tcW w:w="400" w:type="dxa"/>
            <w:tcBorders>
              <w:top w:val="single" w:sz="4" w:space="0" w:color="auto"/>
              <w:left w:val="single" w:sz="4" w:space="0" w:color="auto"/>
              <w:bottom w:val="single" w:sz="4" w:space="0" w:color="auto"/>
              <w:right w:val="single" w:sz="4" w:space="0" w:color="auto"/>
            </w:tcBorders>
            <w:noWrap/>
            <w:vAlign w:val="center"/>
            <w:hideMark/>
          </w:tcPr>
          <w:p w14:paraId="62060E73" w14:textId="77777777" w:rsidR="00A90B69" w:rsidRPr="00516C1F" w:rsidRDefault="00A90B69" w:rsidP="00A90B69">
            <w:pPr>
              <w:spacing w:after="0" w:line="240" w:lineRule="auto"/>
              <w:jc w:val="center"/>
              <w:rPr>
                <w:rFonts w:eastAsia="Times New Roman" w:cs="Calibri"/>
                <w:b/>
                <w:bCs/>
                <w:color w:val="000000"/>
                <w:kern w:val="0"/>
                <w:sz w:val="16"/>
                <w:szCs w:val="16"/>
                <w:lang w:val="en-GB"/>
                <w14:ligatures w14:val="none"/>
              </w:rPr>
            </w:pPr>
            <w:proofErr w:type="spellStart"/>
            <w:r w:rsidRPr="00516C1F">
              <w:rPr>
                <w:rFonts w:eastAsia="Times New Roman" w:cs="Calibri"/>
                <w:b/>
                <w:bCs/>
                <w:color w:val="000000"/>
                <w:kern w:val="0"/>
                <w:sz w:val="16"/>
                <w:szCs w:val="16"/>
                <w:lang w:val="en-GB"/>
                <w14:ligatures w14:val="none"/>
              </w:rPr>
              <w:t>r.n.</w:t>
            </w:r>
            <w:proofErr w:type="spellEnd"/>
          </w:p>
        </w:tc>
        <w:tc>
          <w:tcPr>
            <w:tcW w:w="4557" w:type="dxa"/>
            <w:tcBorders>
              <w:top w:val="single" w:sz="4" w:space="0" w:color="auto"/>
              <w:left w:val="nil"/>
              <w:bottom w:val="single" w:sz="4" w:space="0" w:color="auto"/>
              <w:right w:val="single" w:sz="4" w:space="0" w:color="auto"/>
            </w:tcBorders>
            <w:noWrap/>
            <w:vAlign w:val="center"/>
            <w:hideMark/>
          </w:tcPr>
          <w:p w14:paraId="1D6533A3" w14:textId="77777777" w:rsidR="00A90B69" w:rsidRPr="00516C1F" w:rsidRDefault="00A90B69" w:rsidP="00A90B69">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Institution</w:t>
            </w:r>
          </w:p>
        </w:tc>
        <w:tc>
          <w:tcPr>
            <w:tcW w:w="992" w:type="dxa"/>
            <w:tcBorders>
              <w:top w:val="single" w:sz="4" w:space="0" w:color="auto"/>
              <w:left w:val="nil"/>
              <w:bottom w:val="single" w:sz="4" w:space="0" w:color="auto"/>
              <w:right w:val="single" w:sz="4" w:space="0" w:color="auto"/>
            </w:tcBorders>
            <w:vAlign w:val="center"/>
            <w:hideMark/>
          </w:tcPr>
          <w:p w14:paraId="4E7AB03B" w14:textId="77777777" w:rsidR="00A90B69" w:rsidRPr="00516C1F" w:rsidRDefault="00A90B69" w:rsidP="00A90B69">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Number of projects</w:t>
            </w:r>
          </w:p>
        </w:tc>
        <w:tc>
          <w:tcPr>
            <w:tcW w:w="1134" w:type="dxa"/>
            <w:tcBorders>
              <w:top w:val="single" w:sz="4" w:space="0" w:color="auto"/>
              <w:left w:val="nil"/>
              <w:bottom w:val="single" w:sz="4" w:space="0" w:color="auto"/>
              <w:right w:val="single" w:sz="4" w:space="0" w:color="auto"/>
            </w:tcBorders>
            <w:vAlign w:val="center"/>
            <w:hideMark/>
          </w:tcPr>
          <w:p w14:paraId="53C7B43B" w14:textId="77777777" w:rsidR="00A90B69" w:rsidRPr="00516C1F" w:rsidRDefault="00A90B69" w:rsidP="00A90B69">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Degree centralization</w:t>
            </w:r>
          </w:p>
        </w:tc>
        <w:tc>
          <w:tcPr>
            <w:tcW w:w="1134" w:type="dxa"/>
            <w:tcBorders>
              <w:top w:val="single" w:sz="4" w:space="0" w:color="auto"/>
              <w:left w:val="nil"/>
              <w:bottom w:val="single" w:sz="4" w:space="0" w:color="auto"/>
              <w:right w:val="single" w:sz="4" w:space="0" w:color="auto"/>
            </w:tcBorders>
            <w:vAlign w:val="center"/>
            <w:hideMark/>
          </w:tcPr>
          <w:p w14:paraId="2F5A0B62" w14:textId="77777777" w:rsidR="00A90B69" w:rsidRPr="00516C1F" w:rsidRDefault="00A90B69" w:rsidP="00A90B69">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Closeness centrality</w:t>
            </w:r>
          </w:p>
        </w:tc>
        <w:tc>
          <w:tcPr>
            <w:tcW w:w="1133" w:type="dxa"/>
            <w:tcBorders>
              <w:top w:val="single" w:sz="4" w:space="0" w:color="auto"/>
              <w:left w:val="nil"/>
              <w:bottom w:val="single" w:sz="4" w:space="0" w:color="auto"/>
              <w:right w:val="single" w:sz="4" w:space="0" w:color="auto"/>
            </w:tcBorders>
            <w:vAlign w:val="center"/>
            <w:hideMark/>
          </w:tcPr>
          <w:p w14:paraId="2C73812D" w14:textId="77777777" w:rsidR="00A90B69" w:rsidRPr="00516C1F" w:rsidRDefault="00A90B69" w:rsidP="00A90B69">
            <w:pPr>
              <w:spacing w:after="0" w:line="240" w:lineRule="auto"/>
              <w:jc w:val="center"/>
              <w:rPr>
                <w:rFonts w:eastAsia="Times New Roman" w:cs="Calibri"/>
                <w:b/>
                <w:bCs/>
                <w:color w:val="000000"/>
                <w:kern w:val="0"/>
                <w:sz w:val="16"/>
                <w:szCs w:val="16"/>
                <w:lang w:val="en-GB"/>
                <w14:ligatures w14:val="none"/>
              </w:rPr>
            </w:pPr>
            <w:r w:rsidRPr="00516C1F">
              <w:rPr>
                <w:rFonts w:eastAsia="Times New Roman" w:cs="Calibri"/>
                <w:b/>
                <w:bCs/>
                <w:color w:val="000000"/>
                <w:kern w:val="0"/>
                <w:sz w:val="16"/>
                <w:szCs w:val="16"/>
                <w:lang w:val="en-GB"/>
                <w14:ligatures w14:val="none"/>
              </w:rPr>
              <w:t>Betweenness centrality</w:t>
            </w:r>
          </w:p>
        </w:tc>
      </w:tr>
      <w:tr w:rsidR="00A90B69" w:rsidRPr="00516C1F" w14:paraId="47817982"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40E6FB3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4557" w:type="dxa"/>
            <w:tcBorders>
              <w:top w:val="nil"/>
              <w:left w:val="nil"/>
              <w:bottom w:val="single" w:sz="4" w:space="0" w:color="auto"/>
              <w:right w:val="single" w:sz="4" w:space="0" w:color="auto"/>
            </w:tcBorders>
            <w:noWrap/>
            <w:vAlign w:val="bottom"/>
            <w:hideMark/>
          </w:tcPr>
          <w:p w14:paraId="783FCA23"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Fraunhofer Society for the Promotion of Applied Research (Germany)</w:t>
            </w:r>
          </w:p>
        </w:tc>
        <w:tc>
          <w:tcPr>
            <w:tcW w:w="992"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3A8F2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75</w:t>
            </w:r>
          </w:p>
        </w:tc>
        <w:tc>
          <w:tcPr>
            <w:tcW w:w="1134" w:type="dxa"/>
            <w:tcBorders>
              <w:top w:val="single" w:sz="4" w:space="0" w:color="auto"/>
              <w:left w:val="single" w:sz="4" w:space="0" w:color="auto"/>
              <w:bottom w:val="single" w:sz="4" w:space="0" w:color="auto"/>
              <w:right w:val="single" w:sz="4" w:space="0" w:color="auto"/>
            </w:tcBorders>
            <w:shd w:val="clear" w:color="000000" w:fill="77C68C"/>
            <w:noWrap/>
            <w:vAlign w:val="bottom"/>
            <w:hideMark/>
          </w:tcPr>
          <w:p w14:paraId="5B92E7D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26</w:t>
            </w:r>
          </w:p>
        </w:tc>
        <w:tc>
          <w:tcPr>
            <w:tcW w:w="113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D51C0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0.545</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3A18BE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0.264</w:t>
            </w:r>
          </w:p>
        </w:tc>
      </w:tr>
      <w:tr w:rsidR="00A90B69" w:rsidRPr="00516C1F" w14:paraId="1C86E002"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4D1F407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4557" w:type="dxa"/>
            <w:tcBorders>
              <w:top w:val="nil"/>
              <w:left w:val="nil"/>
              <w:bottom w:val="single" w:sz="4" w:space="0" w:color="auto"/>
              <w:right w:val="single" w:sz="4" w:space="0" w:color="auto"/>
            </w:tcBorders>
            <w:noWrap/>
            <w:vAlign w:val="bottom"/>
            <w:hideMark/>
          </w:tcPr>
          <w:p w14:paraId="42F95067"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bookmarkStart w:id="22" w:name="_Hlk189989119"/>
            <w:r w:rsidRPr="00516C1F">
              <w:rPr>
                <w:rFonts w:eastAsia="Times New Roman" w:cs="Calibri"/>
                <w:color w:val="000000"/>
                <w:kern w:val="0"/>
                <w:sz w:val="16"/>
                <w:szCs w:val="16"/>
                <w:lang w:val="en-GB"/>
                <w14:ligatures w14:val="none"/>
              </w:rPr>
              <w:t>Karlsruhe Institute of Technology (Germany)</w:t>
            </w:r>
            <w:bookmarkEnd w:id="22"/>
          </w:p>
        </w:tc>
        <w:tc>
          <w:tcPr>
            <w:tcW w:w="992" w:type="dxa"/>
            <w:tcBorders>
              <w:top w:val="single" w:sz="4" w:space="0" w:color="auto"/>
              <w:left w:val="single" w:sz="4" w:space="0" w:color="auto"/>
              <w:bottom w:val="single" w:sz="4" w:space="0" w:color="auto"/>
              <w:right w:val="single" w:sz="4" w:space="0" w:color="auto"/>
            </w:tcBorders>
            <w:shd w:val="clear" w:color="000000" w:fill="C7E7D1"/>
            <w:noWrap/>
            <w:vAlign w:val="bottom"/>
            <w:hideMark/>
          </w:tcPr>
          <w:p w14:paraId="718E4F3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29</w:t>
            </w:r>
          </w:p>
        </w:tc>
        <w:tc>
          <w:tcPr>
            <w:tcW w:w="1134" w:type="dxa"/>
            <w:tcBorders>
              <w:top w:val="single" w:sz="4" w:space="0" w:color="auto"/>
              <w:left w:val="single" w:sz="4" w:space="0" w:color="auto"/>
              <w:bottom w:val="single" w:sz="4" w:space="0" w:color="auto"/>
              <w:right w:val="single" w:sz="4" w:space="0" w:color="auto"/>
            </w:tcBorders>
            <w:shd w:val="clear" w:color="000000" w:fill="9DD6AD"/>
            <w:noWrap/>
            <w:vAlign w:val="bottom"/>
            <w:hideMark/>
          </w:tcPr>
          <w:p w14:paraId="7B81DBF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20</w:t>
            </w:r>
          </w:p>
        </w:tc>
        <w:tc>
          <w:tcPr>
            <w:tcW w:w="1134" w:type="dxa"/>
            <w:tcBorders>
              <w:top w:val="single" w:sz="4" w:space="0" w:color="auto"/>
              <w:left w:val="single" w:sz="4" w:space="0" w:color="auto"/>
              <w:bottom w:val="single" w:sz="4" w:space="0" w:color="auto"/>
              <w:right w:val="single" w:sz="4" w:space="0" w:color="auto"/>
            </w:tcBorders>
            <w:shd w:val="clear" w:color="000000" w:fill="7BC890"/>
            <w:noWrap/>
            <w:vAlign w:val="bottom"/>
            <w:hideMark/>
          </w:tcPr>
          <w:p w14:paraId="3FE0EE5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0.520</w:t>
            </w:r>
          </w:p>
        </w:tc>
        <w:tc>
          <w:tcPr>
            <w:tcW w:w="1133" w:type="dxa"/>
            <w:tcBorders>
              <w:top w:val="single" w:sz="4" w:space="0" w:color="auto"/>
              <w:left w:val="single" w:sz="4" w:space="0" w:color="auto"/>
              <w:bottom w:val="single" w:sz="4" w:space="0" w:color="auto"/>
              <w:right w:val="single" w:sz="4" w:space="0" w:color="auto"/>
            </w:tcBorders>
            <w:shd w:val="clear" w:color="000000" w:fill="A0D7B0"/>
            <w:noWrap/>
            <w:vAlign w:val="bottom"/>
            <w:hideMark/>
          </w:tcPr>
          <w:p w14:paraId="33248EC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0.162</w:t>
            </w:r>
          </w:p>
        </w:tc>
      </w:tr>
      <w:tr w:rsidR="00A90B69" w:rsidRPr="00516C1F" w14:paraId="6FACB0D6"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7D4C738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4557" w:type="dxa"/>
            <w:tcBorders>
              <w:top w:val="nil"/>
              <w:left w:val="nil"/>
              <w:bottom w:val="single" w:sz="4" w:space="0" w:color="auto"/>
              <w:right w:val="single" w:sz="4" w:space="0" w:color="auto"/>
            </w:tcBorders>
            <w:noWrap/>
            <w:vAlign w:val="bottom"/>
            <w:hideMark/>
          </w:tcPr>
          <w:p w14:paraId="78F91B31"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Natural Resources and Life Sciences, Vienna (Austria)</w:t>
            </w:r>
          </w:p>
        </w:tc>
        <w:tc>
          <w:tcPr>
            <w:tcW w:w="992" w:type="dxa"/>
            <w:tcBorders>
              <w:top w:val="single" w:sz="4" w:space="0" w:color="auto"/>
              <w:left w:val="single" w:sz="4" w:space="0" w:color="auto"/>
              <w:bottom w:val="single" w:sz="4" w:space="0" w:color="auto"/>
              <w:right w:val="single" w:sz="4" w:space="0" w:color="auto"/>
            </w:tcBorders>
            <w:shd w:val="clear" w:color="000000" w:fill="CFEAD8"/>
            <w:noWrap/>
            <w:vAlign w:val="bottom"/>
            <w:hideMark/>
          </w:tcPr>
          <w:p w14:paraId="0795317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25</w:t>
            </w:r>
          </w:p>
        </w:tc>
        <w:tc>
          <w:tcPr>
            <w:tcW w:w="113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98910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29</w:t>
            </w:r>
          </w:p>
        </w:tc>
        <w:tc>
          <w:tcPr>
            <w:tcW w:w="1134" w:type="dxa"/>
            <w:tcBorders>
              <w:top w:val="single" w:sz="4" w:space="0" w:color="auto"/>
              <w:left w:val="single" w:sz="4" w:space="0" w:color="auto"/>
              <w:bottom w:val="single" w:sz="4" w:space="0" w:color="auto"/>
              <w:right w:val="single" w:sz="4" w:space="0" w:color="auto"/>
            </w:tcBorders>
            <w:shd w:val="clear" w:color="000000" w:fill="8ACE9D"/>
            <w:noWrap/>
            <w:vAlign w:val="bottom"/>
            <w:hideMark/>
          </w:tcPr>
          <w:p w14:paraId="54FFB23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0.504</w:t>
            </w:r>
          </w:p>
        </w:tc>
        <w:tc>
          <w:tcPr>
            <w:tcW w:w="1133" w:type="dxa"/>
            <w:tcBorders>
              <w:top w:val="single" w:sz="4" w:space="0" w:color="auto"/>
              <w:left w:val="single" w:sz="4" w:space="0" w:color="auto"/>
              <w:bottom w:val="single" w:sz="4" w:space="0" w:color="auto"/>
              <w:right w:val="single" w:sz="4" w:space="0" w:color="auto"/>
            </w:tcBorders>
            <w:shd w:val="clear" w:color="000000" w:fill="A6D9B5"/>
            <w:noWrap/>
            <w:vAlign w:val="bottom"/>
            <w:hideMark/>
          </w:tcPr>
          <w:p w14:paraId="70650CE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0.152</w:t>
            </w:r>
          </w:p>
        </w:tc>
      </w:tr>
      <w:tr w:rsidR="00A90B69" w:rsidRPr="00516C1F" w14:paraId="6C68A736"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4F09077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4557" w:type="dxa"/>
            <w:tcBorders>
              <w:top w:val="nil"/>
              <w:left w:val="nil"/>
              <w:bottom w:val="single" w:sz="4" w:space="0" w:color="auto"/>
              <w:right w:val="single" w:sz="4" w:space="0" w:color="auto"/>
            </w:tcBorders>
            <w:noWrap/>
            <w:vAlign w:val="bottom"/>
            <w:hideMark/>
          </w:tcPr>
          <w:p w14:paraId="28712918"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Technical University of Munich (Germany)</w:t>
            </w:r>
          </w:p>
        </w:tc>
        <w:tc>
          <w:tcPr>
            <w:tcW w:w="992"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184239A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22</w:t>
            </w:r>
          </w:p>
        </w:tc>
        <w:tc>
          <w:tcPr>
            <w:tcW w:w="1134" w:type="dxa"/>
            <w:tcBorders>
              <w:top w:val="single" w:sz="4" w:space="0" w:color="auto"/>
              <w:left w:val="single" w:sz="4" w:space="0" w:color="auto"/>
              <w:bottom w:val="single" w:sz="4" w:space="0" w:color="auto"/>
              <w:right w:val="single" w:sz="4" w:space="0" w:color="auto"/>
            </w:tcBorders>
            <w:shd w:val="clear" w:color="000000" w:fill="DDF0E4"/>
            <w:noWrap/>
            <w:vAlign w:val="bottom"/>
            <w:hideMark/>
          </w:tcPr>
          <w:p w14:paraId="3FAAEE3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C2E5CD"/>
            <w:noWrap/>
            <w:vAlign w:val="bottom"/>
            <w:hideMark/>
          </w:tcPr>
          <w:p w14:paraId="1B81D4C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0.445</w:t>
            </w:r>
          </w:p>
        </w:tc>
        <w:tc>
          <w:tcPr>
            <w:tcW w:w="1133" w:type="dxa"/>
            <w:tcBorders>
              <w:top w:val="single" w:sz="4" w:space="0" w:color="auto"/>
              <w:left w:val="single" w:sz="4" w:space="0" w:color="auto"/>
              <w:bottom w:val="single" w:sz="4" w:space="0" w:color="auto"/>
              <w:right w:val="single" w:sz="4" w:space="0" w:color="auto"/>
            </w:tcBorders>
            <w:shd w:val="clear" w:color="000000" w:fill="F5F9F9"/>
            <w:noWrap/>
            <w:vAlign w:val="bottom"/>
            <w:hideMark/>
          </w:tcPr>
          <w:p w14:paraId="5ECCA87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0.018</w:t>
            </w:r>
          </w:p>
        </w:tc>
      </w:tr>
      <w:tr w:rsidR="00A90B69" w:rsidRPr="00516C1F" w14:paraId="304EB98D"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05E3C0B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4557" w:type="dxa"/>
            <w:tcBorders>
              <w:top w:val="nil"/>
              <w:left w:val="nil"/>
              <w:bottom w:val="single" w:sz="4" w:space="0" w:color="auto"/>
              <w:right w:val="single" w:sz="4" w:space="0" w:color="auto"/>
            </w:tcBorders>
            <w:noWrap/>
            <w:vAlign w:val="bottom"/>
            <w:hideMark/>
          </w:tcPr>
          <w:p w14:paraId="0D6547A9"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Max Planck Society for the Advancement of Science (Germany)</w:t>
            </w:r>
          </w:p>
        </w:tc>
        <w:tc>
          <w:tcPr>
            <w:tcW w:w="992" w:type="dxa"/>
            <w:tcBorders>
              <w:top w:val="single" w:sz="4" w:space="0" w:color="auto"/>
              <w:left w:val="single" w:sz="4" w:space="0" w:color="auto"/>
              <w:bottom w:val="single" w:sz="4" w:space="0" w:color="auto"/>
              <w:right w:val="single" w:sz="4" w:space="0" w:color="auto"/>
            </w:tcBorders>
            <w:shd w:val="clear" w:color="000000" w:fill="E0F1E7"/>
            <w:noWrap/>
            <w:vAlign w:val="bottom"/>
            <w:hideMark/>
          </w:tcPr>
          <w:p w14:paraId="017AD8B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17</w:t>
            </w:r>
          </w:p>
        </w:tc>
        <w:tc>
          <w:tcPr>
            <w:tcW w:w="1134" w:type="dxa"/>
            <w:tcBorders>
              <w:top w:val="single" w:sz="4" w:space="0" w:color="auto"/>
              <w:left w:val="single" w:sz="4" w:space="0" w:color="auto"/>
              <w:bottom w:val="single" w:sz="4" w:space="0" w:color="auto"/>
              <w:right w:val="single" w:sz="4" w:space="0" w:color="auto"/>
            </w:tcBorders>
            <w:shd w:val="clear" w:color="000000" w:fill="DDF0E4"/>
            <w:noWrap/>
            <w:vAlign w:val="bottom"/>
            <w:hideMark/>
          </w:tcPr>
          <w:p w14:paraId="60D7BDE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DEF0E6"/>
            <w:noWrap/>
            <w:vAlign w:val="bottom"/>
            <w:hideMark/>
          </w:tcPr>
          <w:p w14:paraId="4F9D9C0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0.415</w:t>
            </w:r>
          </w:p>
        </w:tc>
        <w:tc>
          <w:tcPr>
            <w:tcW w:w="1133" w:type="dxa"/>
            <w:tcBorders>
              <w:top w:val="single" w:sz="4" w:space="0" w:color="auto"/>
              <w:left w:val="single" w:sz="4" w:space="0" w:color="auto"/>
              <w:bottom w:val="single" w:sz="4" w:space="0" w:color="auto"/>
              <w:right w:val="single" w:sz="4" w:space="0" w:color="auto"/>
            </w:tcBorders>
            <w:shd w:val="clear" w:color="000000" w:fill="DBEFE2"/>
            <w:noWrap/>
            <w:vAlign w:val="bottom"/>
            <w:hideMark/>
          </w:tcPr>
          <w:p w14:paraId="6C771AD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0.062</w:t>
            </w:r>
          </w:p>
        </w:tc>
      </w:tr>
      <w:tr w:rsidR="00A90B69" w:rsidRPr="00516C1F" w14:paraId="7B1B84AC"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5731164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4557" w:type="dxa"/>
            <w:tcBorders>
              <w:top w:val="nil"/>
              <w:left w:val="nil"/>
              <w:bottom w:val="single" w:sz="4" w:space="0" w:color="auto"/>
              <w:right w:val="single" w:sz="4" w:space="0" w:color="auto"/>
            </w:tcBorders>
            <w:noWrap/>
            <w:vAlign w:val="bottom"/>
            <w:hideMark/>
          </w:tcPr>
          <w:p w14:paraId="1130D3FA"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Stuttgart (Germany)</w:t>
            </w:r>
          </w:p>
        </w:tc>
        <w:tc>
          <w:tcPr>
            <w:tcW w:w="992" w:type="dxa"/>
            <w:tcBorders>
              <w:top w:val="single" w:sz="4" w:space="0" w:color="auto"/>
              <w:left w:val="single" w:sz="4" w:space="0" w:color="auto"/>
              <w:bottom w:val="single" w:sz="4" w:space="0" w:color="auto"/>
              <w:right w:val="single" w:sz="4" w:space="0" w:color="auto"/>
            </w:tcBorders>
            <w:shd w:val="clear" w:color="000000" w:fill="E5F3EB"/>
            <w:noWrap/>
            <w:vAlign w:val="bottom"/>
            <w:hideMark/>
          </w:tcPr>
          <w:p w14:paraId="1940CF0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DDF0E4"/>
            <w:noWrap/>
            <w:vAlign w:val="bottom"/>
            <w:hideMark/>
          </w:tcPr>
          <w:p w14:paraId="6653E62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CBE9D5"/>
            <w:noWrap/>
            <w:vAlign w:val="bottom"/>
            <w:hideMark/>
          </w:tcPr>
          <w:p w14:paraId="3BB194D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0.435</w:t>
            </w:r>
          </w:p>
        </w:tc>
        <w:tc>
          <w:tcPr>
            <w:tcW w:w="1133" w:type="dxa"/>
            <w:tcBorders>
              <w:top w:val="single" w:sz="4" w:space="0" w:color="auto"/>
              <w:left w:val="single" w:sz="4" w:space="0" w:color="auto"/>
              <w:bottom w:val="single" w:sz="4" w:space="0" w:color="auto"/>
              <w:right w:val="single" w:sz="4" w:space="0" w:color="auto"/>
            </w:tcBorders>
            <w:shd w:val="clear" w:color="000000" w:fill="DFF1E6"/>
            <w:noWrap/>
            <w:vAlign w:val="bottom"/>
            <w:hideMark/>
          </w:tcPr>
          <w:p w14:paraId="26A74C0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0.055</w:t>
            </w:r>
          </w:p>
        </w:tc>
      </w:tr>
      <w:tr w:rsidR="00A90B69" w:rsidRPr="00516C1F" w14:paraId="437459B5"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69BDB12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4557" w:type="dxa"/>
            <w:tcBorders>
              <w:top w:val="nil"/>
              <w:left w:val="nil"/>
              <w:bottom w:val="single" w:sz="4" w:space="0" w:color="auto"/>
              <w:right w:val="single" w:sz="4" w:space="0" w:color="auto"/>
            </w:tcBorders>
            <w:noWrap/>
            <w:vAlign w:val="bottom"/>
            <w:hideMark/>
          </w:tcPr>
          <w:p w14:paraId="2D42B409"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Ludwig Maximilian University of Munich (Germany)</w:t>
            </w:r>
          </w:p>
        </w:tc>
        <w:tc>
          <w:tcPr>
            <w:tcW w:w="992" w:type="dxa"/>
            <w:tcBorders>
              <w:top w:val="single" w:sz="4" w:space="0" w:color="auto"/>
              <w:left w:val="single" w:sz="4" w:space="0" w:color="auto"/>
              <w:bottom w:val="single" w:sz="4" w:space="0" w:color="auto"/>
              <w:right w:val="single" w:sz="4" w:space="0" w:color="auto"/>
            </w:tcBorders>
            <w:shd w:val="clear" w:color="000000" w:fill="E5F3EB"/>
            <w:noWrap/>
            <w:vAlign w:val="bottom"/>
            <w:hideMark/>
          </w:tcPr>
          <w:p w14:paraId="730188F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1CEF974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2E8BB09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0.404</w:t>
            </w:r>
          </w:p>
        </w:tc>
        <w:tc>
          <w:tcPr>
            <w:tcW w:w="1133"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4002B8B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0.010</w:t>
            </w:r>
          </w:p>
        </w:tc>
      </w:tr>
      <w:tr w:rsidR="00A90B69" w:rsidRPr="00516C1F" w14:paraId="713A81E8"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61A254C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4557" w:type="dxa"/>
            <w:tcBorders>
              <w:top w:val="nil"/>
              <w:left w:val="nil"/>
              <w:bottom w:val="single" w:sz="4" w:space="0" w:color="auto"/>
              <w:right w:val="single" w:sz="4" w:space="0" w:color="auto"/>
            </w:tcBorders>
            <w:noWrap/>
            <w:vAlign w:val="bottom"/>
            <w:hideMark/>
          </w:tcPr>
          <w:p w14:paraId="2B9C8428"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Vienna (Austria)</w:t>
            </w:r>
          </w:p>
        </w:tc>
        <w:tc>
          <w:tcPr>
            <w:tcW w:w="992" w:type="dxa"/>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2E86CF2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1134" w:type="dxa"/>
            <w:tcBorders>
              <w:top w:val="single" w:sz="4" w:space="0" w:color="auto"/>
              <w:left w:val="single" w:sz="4" w:space="0" w:color="auto"/>
              <w:bottom w:val="single" w:sz="4" w:space="0" w:color="auto"/>
              <w:right w:val="single" w:sz="4" w:space="0" w:color="auto"/>
            </w:tcBorders>
            <w:shd w:val="clear" w:color="000000" w:fill="AADBB8"/>
            <w:noWrap/>
            <w:vAlign w:val="bottom"/>
            <w:hideMark/>
          </w:tcPr>
          <w:p w14:paraId="04C5856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18</w:t>
            </w:r>
          </w:p>
        </w:tc>
        <w:tc>
          <w:tcPr>
            <w:tcW w:w="1134" w:type="dxa"/>
            <w:tcBorders>
              <w:top w:val="single" w:sz="4" w:space="0" w:color="auto"/>
              <w:left w:val="single" w:sz="4" w:space="0" w:color="auto"/>
              <w:bottom w:val="single" w:sz="4" w:space="0" w:color="auto"/>
              <w:right w:val="single" w:sz="4" w:space="0" w:color="auto"/>
            </w:tcBorders>
            <w:shd w:val="clear" w:color="000000" w:fill="8DCFA0"/>
            <w:noWrap/>
            <w:vAlign w:val="bottom"/>
            <w:hideMark/>
          </w:tcPr>
          <w:p w14:paraId="289B746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0.500</w:t>
            </w:r>
          </w:p>
        </w:tc>
        <w:tc>
          <w:tcPr>
            <w:tcW w:w="1133" w:type="dxa"/>
            <w:tcBorders>
              <w:top w:val="single" w:sz="4" w:space="0" w:color="auto"/>
              <w:left w:val="single" w:sz="4" w:space="0" w:color="auto"/>
              <w:bottom w:val="single" w:sz="4" w:space="0" w:color="auto"/>
              <w:right w:val="single" w:sz="4" w:space="0" w:color="auto"/>
            </w:tcBorders>
            <w:shd w:val="clear" w:color="000000" w:fill="D3EBDB"/>
            <w:noWrap/>
            <w:vAlign w:val="bottom"/>
            <w:hideMark/>
          </w:tcPr>
          <w:p w14:paraId="6ECE08F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0.076</w:t>
            </w:r>
          </w:p>
        </w:tc>
      </w:tr>
      <w:tr w:rsidR="00A90B69" w:rsidRPr="00516C1F" w14:paraId="7C7974F6"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6C96987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4557" w:type="dxa"/>
            <w:tcBorders>
              <w:top w:val="nil"/>
              <w:left w:val="nil"/>
              <w:bottom w:val="single" w:sz="4" w:space="0" w:color="auto"/>
              <w:right w:val="single" w:sz="4" w:space="0" w:color="auto"/>
            </w:tcBorders>
            <w:noWrap/>
            <w:vAlign w:val="bottom"/>
            <w:hideMark/>
          </w:tcPr>
          <w:p w14:paraId="6864F350"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AIT Austrian Institute of Technology GmbH (Austria)</w:t>
            </w:r>
          </w:p>
        </w:tc>
        <w:tc>
          <w:tcPr>
            <w:tcW w:w="992" w:type="dxa"/>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03D7204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6EFEF47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45F4CEB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0.366</w:t>
            </w:r>
          </w:p>
        </w:tc>
        <w:tc>
          <w:tcPr>
            <w:tcW w:w="1133" w:type="dxa"/>
            <w:tcBorders>
              <w:top w:val="single" w:sz="4" w:space="0" w:color="auto"/>
              <w:left w:val="single" w:sz="4" w:space="0" w:color="auto"/>
              <w:bottom w:val="single" w:sz="4" w:space="0" w:color="auto"/>
              <w:right w:val="single" w:sz="4" w:space="0" w:color="auto"/>
            </w:tcBorders>
            <w:shd w:val="clear" w:color="000000" w:fill="E1F1E8"/>
            <w:noWrap/>
            <w:vAlign w:val="bottom"/>
            <w:hideMark/>
          </w:tcPr>
          <w:p w14:paraId="5BAC4FA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0.051</w:t>
            </w:r>
          </w:p>
        </w:tc>
      </w:tr>
      <w:tr w:rsidR="00A90B69" w:rsidRPr="00516C1F" w14:paraId="63FF2D98"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5A890EC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lastRenderedPageBreak/>
              <w:t>10</w:t>
            </w:r>
          </w:p>
        </w:tc>
        <w:tc>
          <w:tcPr>
            <w:tcW w:w="4557" w:type="dxa"/>
            <w:tcBorders>
              <w:top w:val="nil"/>
              <w:left w:val="nil"/>
              <w:bottom w:val="single" w:sz="4" w:space="0" w:color="auto"/>
              <w:right w:val="single" w:sz="4" w:space="0" w:color="auto"/>
            </w:tcBorders>
            <w:noWrap/>
            <w:vAlign w:val="bottom"/>
            <w:hideMark/>
          </w:tcPr>
          <w:p w14:paraId="5707F906"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Ljubljana (Slovenia)</w:t>
            </w:r>
          </w:p>
        </w:tc>
        <w:tc>
          <w:tcPr>
            <w:tcW w:w="992"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67E93F2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1134" w:type="dxa"/>
            <w:tcBorders>
              <w:top w:val="single" w:sz="4" w:space="0" w:color="auto"/>
              <w:left w:val="single" w:sz="4" w:space="0" w:color="auto"/>
              <w:bottom w:val="single" w:sz="4" w:space="0" w:color="auto"/>
              <w:right w:val="single" w:sz="4" w:space="0" w:color="auto"/>
            </w:tcBorders>
            <w:shd w:val="clear" w:color="000000" w:fill="97D3A8"/>
            <w:noWrap/>
            <w:vAlign w:val="bottom"/>
            <w:hideMark/>
          </w:tcPr>
          <w:p w14:paraId="7A27E10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21</w:t>
            </w:r>
          </w:p>
        </w:tc>
        <w:tc>
          <w:tcPr>
            <w:tcW w:w="1134" w:type="dxa"/>
            <w:tcBorders>
              <w:top w:val="single" w:sz="4" w:space="0" w:color="auto"/>
              <w:left w:val="single" w:sz="4" w:space="0" w:color="auto"/>
              <w:bottom w:val="single" w:sz="4" w:space="0" w:color="auto"/>
              <w:right w:val="single" w:sz="4" w:space="0" w:color="auto"/>
            </w:tcBorders>
            <w:shd w:val="clear" w:color="000000" w:fill="8ACE9D"/>
            <w:noWrap/>
            <w:vAlign w:val="bottom"/>
            <w:hideMark/>
          </w:tcPr>
          <w:p w14:paraId="66F0B60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0.504</w:t>
            </w:r>
          </w:p>
        </w:tc>
        <w:tc>
          <w:tcPr>
            <w:tcW w:w="1133" w:type="dxa"/>
            <w:tcBorders>
              <w:top w:val="single" w:sz="4" w:space="0" w:color="auto"/>
              <w:left w:val="single" w:sz="4" w:space="0" w:color="auto"/>
              <w:bottom w:val="single" w:sz="4" w:space="0" w:color="auto"/>
              <w:right w:val="single" w:sz="4" w:space="0" w:color="auto"/>
            </w:tcBorders>
            <w:shd w:val="clear" w:color="000000" w:fill="B8E1C4"/>
            <w:noWrap/>
            <w:vAlign w:val="bottom"/>
            <w:hideMark/>
          </w:tcPr>
          <w:p w14:paraId="3B84781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0.121</w:t>
            </w:r>
          </w:p>
        </w:tc>
      </w:tr>
      <w:tr w:rsidR="00A90B69" w:rsidRPr="00516C1F" w14:paraId="14230DDA"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4F84FF0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4557" w:type="dxa"/>
            <w:tcBorders>
              <w:top w:val="nil"/>
              <w:left w:val="nil"/>
              <w:bottom w:val="single" w:sz="4" w:space="0" w:color="auto"/>
              <w:right w:val="single" w:sz="4" w:space="0" w:color="auto"/>
            </w:tcBorders>
            <w:noWrap/>
            <w:vAlign w:val="bottom"/>
            <w:hideMark/>
          </w:tcPr>
          <w:p w14:paraId="3C379A96"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National Institute of Chemistry (Slovenia)</w:t>
            </w:r>
          </w:p>
        </w:tc>
        <w:tc>
          <w:tcPr>
            <w:tcW w:w="992"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3C32426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6F2B834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EAF5F0"/>
            <w:noWrap/>
            <w:vAlign w:val="bottom"/>
            <w:hideMark/>
          </w:tcPr>
          <w:p w14:paraId="7358044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0.402</w:t>
            </w:r>
          </w:p>
        </w:tc>
        <w:tc>
          <w:tcPr>
            <w:tcW w:w="1133" w:type="dxa"/>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12A9B8C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0.027</w:t>
            </w:r>
          </w:p>
        </w:tc>
      </w:tr>
      <w:tr w:rsidR="00A90B69" w:rsidRPr="00516C1F" w14:paraId="15170ADD"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1FD7305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w:t>
            </w:r>
          </w:p>
        </w:tc>
        <w:tc>
          <w:tcPr>
            <w:tcW w:w="4557" w:type="dxa"/>
            <w:tcBorders>
              <w:top w:val="nil"/>
              <w:left w:val="nil"/>
              <w:bottom w:val="single" w:sz="4" w:space="0" w:color="auto"/>
              <w:right w:val="single" w:sz="4" w:space="0" w:color="auto"/>
            </w:tcBorders>
            <w:noWrap/>
            <w:vAlign w:val="bottom"/>
            <w:hideMark/>
          </w:tcPr>
          <w:p w14:paraId="1D65A89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Vienna University of Technology (Austria)</w:t>
            </w:r>
          </w:p>
        </w:tc>
        <w:tc>
          <w:tcPr>
            <w:tcW w:w="992"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600234F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4FB624A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5FAF9"/>
            <w:noWrap/>
            <w:vAlign w:val="bottom"/>
            <w:hideMark/>
          </w:tcPr>
          <w:p w14:paraId="19A99E8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0.391</w:t>
            </w:r>
          </w:p>
        </w:tc>
        <w:tc>
          <w:tcPr>
            <w:tcW w:w="1133"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1B332B7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0.010</w:t>
            </w:r>
          </w:p>
        </w:tc>
      </w:tr>
      <w:tr w:rsidR="00A90B69" w:rsidRPr="00516C1F" w14:paraId="2F071ACE"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30086E3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4557" w:type="dxa"/>
            <w:tcBorders>
              <w:top w:val="nil"/>
              <w:left w:val="nil"/>
              <w:bottom w:val="single" w:sz="4" w:space="0" w:color="auto"/>
              <w:right w:val="single" w:sz="4" w:space="0" w:color="auto"/>
            </w:tcBorders>
            <w:noWrap/>
            <w:vAlign w:val="bottom"/>
            <w:hideMark/>
          </w:tcPr>
          <w:p w14:paraId="4E791B15"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ICLEI European Secretariat (Germany)</w:t>
            </w:r>
          </w:p>
        </w:tc>
        <w:tc>
          <w:tcPr>
            <w:tcW w:w="992"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1710CC1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7A71A76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C2E5CD"/>
            <w:noWrap/>
            <w:vAlign w:val="bottom"/>
            <w:hideMark/>
          </w:tcPr>
          <w:p w14:paraId="7530049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0.445</w:t>
            </w:r>
          </w:p>
        </w:tc>
        <w:tc>
          <w:tcPr>
            <w:tcW w:w="1133" w:type="dxa"/>
            <w:tcBorders>
              <w:top w:val="single" w:sz="4" w:space="0" w:color="auto"/>
              <w:left w:val="single" w:sz="4" w:space="0" w:color="auto"/>
              <w:bottom w:val="single" w:sz="4" w:space="0" w:color="auto"/>
              <w:right w:val="single" w:sz="4" w:space="0" w:color="auto"/>
            </w:tcBorders>
            <w:shd w:val="clear" w:color="000000" w:fill="E5F3EC"/>
            <w:noWrap/>
            <w:vAlign w:val="bottom"/>
            <w:hideMark/>
          </w:tcPr>
          <w:p w14:paraId="4E2CFD8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0.044</w:t>
            </w:r>
          </w:p>
        </w:tc>
      </w:tr>
      <w:tr w:rsidR="00A90B69" w:rsidRPr="00516C1F" w14:paraId="2E7E7B44"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3E9C26D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14</w:t>
            </w:r>
          </w:p>
        </w:tc>
        <w:tc>
          <w:tcPr>
            <w:tcW w:w="4557" w:type="dxa"/>
            <w:tcBorders>
              <w:top w:val="nil"/>
              <w:left w:val="nil"/>
              <w:bottom w:val="single" w:sz="4" w:space="0" w:color="auto"/>
              <w:right w:val="single" w:sz="4" w:space="0" w:color="auto"/>
            </w:tcBorders>
            <w:noWrap/>
            <w:vAlign w:val="bottom"/>
            <w:hideMark/>
          </w:tcPr>
          <w:p w14:paraId="078B671E"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International Institute for Applied Systems Analysis (Austria)</w:t>
            </w:r>
          </w:p>
        </w:tc>
        <w:tc>
          <w:tcPr>
            <w:tcW w:w="992" w:type="dxa"/>
            <w:tcBorders>
              <w:top w:val="single" w:sz="4" w:space="0" w:color="auto"/>
              <w:left w:val="single" w:sz="4" w:space="0" w:color="auto"/>
              <w:bottom w:val="single" w:sz="4" w:space="0" w:color="auto"/>
              <w:right w:val="single" w:sz="4" w:space="0" w:color="auto"/>
            </w:tcBorders>
            <w:shd w:val="clear" w:color="000000" w:fill="EDF6F2"/>
            <w:noWrap/>
            <w:vAlign w:val="bottom"/>
            <w:hideMark/>
          </w:tcPr>
          <w:p w14:paraId="09FFAF4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30F43EA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5FAF9"/>
            <w:noWrap/>
            <w:vAlign w:val="bottom"/>
            <w:hideMark/>
          </w:tcPr>
          <w:p w14:paraId="2513D91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0.391</w:t>
            </w:r>
          </w:p>
        </w:tc>
        <w:tc>
          <w:tcPr>
            <w:tcW w:w="1133"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057D2EF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0.010</w:t>
            </w:r>
          </w:p>
        </w:tc>
      </w:tr>
      <w:tr w:rsidR="00A90B69" w:rsidRPr="00516C1F" w14:paraId="6F1C2B26"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454B9D8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4557" w:type="dxa"/>
            <w:tcBorders>
              <w:top w:val="nil"/>
              <w:left w:val="nil"/>
              <w:bottom w:val="single" w:sz="4" w:space="0" w:color="auto"/>
              <w:right w:val="single" w:sz="4" w:space="0" w:color="auto"/>
            </w:tcBorders>
            <w:noWrap/>
            <w:vAlign w:val="bottom"/>
            <w:hideMark/>
          </w:tcPr>
          <w:p w14:paraId="00E6CB8A"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Steinbeis</w:t>
            </w:r>
            <w:proofErr w:type="spellEnd"/>
            <w:r w:rsidRPr="00516C1F">
              <w:rPr>
                <w:rFonts w:eastAsia="Times New Roman" w:cs="Calibri"/>
                <w:color w:val="000000"/>
                <w:kern w:val="0"/>
                <w:sz w:val="16"/>
                <w:szCs w:val="16"/>
                <w:lang w:val="en-GB"/>
                <w14:ligatures w14:val="none"/>
              </w:rPr>
              <w:t xml:space="preserve"> Innovation (Germany)</w:t>
            </w:r>
          </w:p>
        </w:tc>
        <w:tc>
          <w:tcPr>
            <w:tcW w:w="992" w:type="dxa"/>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311B26E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79B0477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7AB31DA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0.404</w:t>
            </w:r>
          </w:p>
        </w:tc>
        <w:tc>
          <w:tcPr>
            <w:tcW w:w="1133" w:type="dxa"/>
            <w:tcBorders>
              <w:top w:val="single" w:sz="4" w:space="0" w:color="auto"/>
              <w:left w:val="single" w:sz="4" w:space="0" w:color="auto"/>
              <w:bottom w:val="single" w:sz="4" w:space="0" w:color="auto"/>
              <w:right w:val="single" w:sz="4" w:space="0" w:color="auto"/>
            </w:tcBorders>
            <w:shd w:val="clear" w:color="000000" w:fill="CEEAD7"/>
            <w:noWrap/>
            <w:vAlign w:val="bottom"/>
            <w:hideMark/>
          </w:tcPr>
          <w:p w14:paraId="44864BF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0.084</w:t>
            </w:r>
          </w:p>
        </w:tc>
      </w:tr>
      <w:tr w:rsidR="00A90B69" w:rsidRPr="00516C1F" w14:paraId="66DA2D24" w14:textId="77777777" w:rsidTr="00DD7A8A">
        <w:trPr>
          <w:trHeight w:val="170"/>
        </w:trPr>
        <w:tc>
          <w:tcPr>
            <w:tcW w:w="400" w:type="dxa"/>
            <w:tcBorders>
              <w:top w:val="nil"/>
              <w:left w:val="single" w:sz="4" w:space="0" w:color="auto"/>
              <w:bottom w:val="single" w:sz="4" w:space="0" w:color="auto"/>
              <w:right w:val="single" w:sz="4" w:space="0" w:color="auto"/>
            </w:tcBorders>
            <w:noWrap/>
            <w:vAlign w:val="bottom"/>
            <w:hideMark/>
          </w:tcPr>
          <w:p w14:paraId="26B03F6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16</w:t>
            </w:r>
          </w:p>
        </w:tc>
        <w:tc>
          <w:tcPr>
            <w:tcW w:w="4557" w:type="dxa"/>
            <w:tcBorders>
              <w:top w:val="nil"/>
              <w:left w:val="nil"/>
              <w:bottom w:val="single" w:sz="4" w:space="0" w:color="auto"/>
              <w:right w:val="single" w:sz="4" w:space="0" w:color="auto"/>
            </w:tcBorders>
            <w:noWrap/>
            <w:vAlign w:val="bottom"/>
            <w:hideMark/>
          </w:tcPr>
          <w:p w14:paraId="527D09CA"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Leoben (Austria)</w:t>
            </w:r>
          </w:p>
        </w:tc>
        <w:tc>
          <w:tcPr>
            <w:tcW w:w="992"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21ED6D2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2C80C0F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62788B9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0.374</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459100D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0.008</w:t>
            </w:r>
          </w:p>
        </w:tc>
      </w:tr>
      <w:tr w:rsidR="00A90B69" w:rsidRPr="00516C1F" w14:paraId="3F978758"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5B02B3A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17</w:t>
            </w:r>
          </w:p>
        </w:tc>
        <w:tc>
          <w:tcPr>
            <w:tcW w:w="4557" w:type="dxa"/>
            <w:tcBorders>
              <w:top w:val="nil"/>
              <w:left w:val="nil"/>
              <w:bottom w:val="single" w:sz="4" w:space="0" w:color="auto"/>
              <w:right w:val="single" w:sz="4" w:space="0" w:color="auto"/>
            </w:tcBorders>
            <w:noWrap/>
            <w:vAlign w:val="bottom"/>
            <w:hideMark/>
          </w:tcPr>
          <w:p w14:paraId="11B27432"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Zagreb, Faculty of Mechanical Engineering and Naval Architecture (Croatia)</w:t>
            </w:r>
          </w:p>
        </w:tc>
        <w:tc>
          <w:tcPr>
            <w:tcW w:w="992"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06205EE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22E6B63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DEF0E6"/>
            <w:noWrap/>
            <w:vAlign w:val="bottom"/>
            <w:hideMark/>
          </w:tcPr>
          <w:p w14:paraId="07E9291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0.415</w:t>
            </w:r>
          </w:p>
        </w:tc>
        <w:tc>
          <w:tcPr>
            <w:tcW w:w="1133" w:type="dxa"/>
            <w:tcBorders>
              <w:top w:val="single" w:sz="4" w:space="0" w:color="auto"/>
              <w:left w:val="single" w:sz="4" w:space="0" w:color="auto"/>
              <w:bottom w:val="single" w:sz="4" w:space="0" w:color="auto"/>
              <w:right w:val="single" w:sz="4" w:space="0" w:color="auto"/>
            </w:tcBorders>
            <w:shd w:val="clear" w:color="000000" w:fill="F7FAFA"/>
            <w:noWrap/>
            <w:vAlign w:val="bottom"/>
            <w:hideMark/>
          </w:tcPr>
          <w:p w14:paraId="16D9E0F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0.015</w:t>
            </w:r>
          </w:p>
        </w:tc>
      </w:tr>
      <w:tr w:rsidR="00A90B69" w:rsidRPr="00516C1F" w14:paraId="22884323"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3330163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18</w:t>
            </w:r>
          </w:p>
        </w:tc>
        <w:tc>
          <w:tcPr>
            <w:tcW w:w="4557" w:type="dxa"/>
            <w:tcBorders>
              <w:top w:val="nil"/>
              <w:left w:val="nil"/>
              <w:bottom w:val="single" w:sz="4" w:space="0" w:color="auto"/>
              <w:right w:val="single" w:sz="4" w:space="0" w:color="auto"/>
            </w:tcBorders>
            <w:noWrap/>
            <w:vAlign w:val="bottom"/>
            <w:hideMark/>
          </w:tcPr>
          <w:p w14:paraId="56D1B86A"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Jožef Stefan Institute (Slovenia)</w:t>
            </w:r>
          </w:p>
        </w:tc>
        <w:tc>
          <w:tcPr>
            <w:tcW w:w="992"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469C925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7FA64F7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E4F3EB"/>
            <w:noWrap/>
            <w:vAlign w:val="bottom"/>
            <w:hideMark/>
          </w:tcPr>
          <w:p w14:paraId="2A4490B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0.409</w:t>
            </w:r>
          </w:p>
        </w:tc>
        <w:tc>
          <w:tcPr>
            <w:tcW w:w="1133"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2370340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0.014</w:t>
            </w:r>
          </w:p>
        </w:tc>
      </w:tr>
      <w:tr w:rsidR="00A90B69" w:rsidRPr="00516C1F" w14:paraId="0B16C73F"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0846CB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19</w:t>
            </w:r>
          </w:p>
        </w:tc>
        <w:tc>
          <w:tcPr>
            <w:tcW w:w="4557" w:type="dxa"/>
            <w:tcBorders>
              <w:top w:val="nil"/>
              <w:left w:val="nil"/>
              <w:bottom w:val="single" w:sz="4" w:space="0" w:color="auto"/>
              <w:right w:val="single" w:sz="4" w:space="0" w:color="auto"/>
            </w:tcBorders>
            <w:noWrap/>
            <w:vAlign w:val="bottom"/>
            <w:hideMark/>
          </w:tcPr>
          <w:p w14:paraId="534B312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AVL List GmbH (Austria)</w:t>
            </w:r>
          </w:p>
        </w:tc>
        <w:tc>
          <w:tcPr>
            <w:tcW w:w="992"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06AA418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4CA071A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42358B9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0.404</w:t>
            </w:r>
          </w:p>
        </w:tc>
        <w:tc>
          <w:tcPr>
            <w:tcW w:w="1133"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1B39950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0.012</w:t>
            </w:r>
          </w:p>
        </w:tc>
      </w:tr>
      <w:tr w:rsidR="00A90B69" w:rsidRPr="00516C1F" w14:paraId="44B0D045"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03E67AF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20</w:t>
            </w:r>
          </w:p>
        </w:tc>
        <w:tc>
          <w:tcPr>
            <w:tcW w:w="4557" w:type="dxa"/>
            <w:tcBorders>
              <w:top w:val="nil"/>
              <w:left w:val="nil"/>
              <w:bottom w:val="single" w:sz="4" w:space="0" w:color="auto"/>
              <w:right w:val="single" w:sz="4" w:space="0" w:color="auto"/>
            </w:tcBorders>
            <w:noWrap/>
            <w:vAlign w:val="bottom"/>
            <w:hideMark/>
          </w:tcPr>
          <w:p w14:paraId="3C08A069"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Magneti Ljubljana Company for the Production of Magnetic Materials (Slovenia)</w:t>
            </w:r>
          </w:p>
        </w:tc>
        <w:tc>
          <w:tcPr>
            <w:tcW w:w="992"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31FEC2F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15899FD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DAEFE2"/>
            <w:noWrap/>
            <w:vAlign w:val="bottom"/>
            <w:hideMark/>
          </w:tcPr>
          <w:p w14:paraId="5BC60AD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0.419</w:t>
            </w:r>
          </w:p>
        </w:tc>
        <w:tc>
          <w:tcPr>
            <w:tcW w:w="1133" w:type="dxa"/>
            <w:tcBorders>
              <w:top w:val="single" w:sz="4" w:space="0" w:color="auto"/>
              <w:left w:val="single" w:sz="4" w:space="0" w:color="auto"/>
              <w:bottom w:val="single" w:sz="4" w:space="0" w:color="auto"/>
              <w:right w:val="single" w:sz="4" w:space="0" w:color="auto"/>
            </w:tcBorders>
            <w:shd w:val="clear" w:color="000000" w:fill="EBF5F0"/>
            <w:noWrap/>
            <w:vAlign w:val="bottom"/>
            <w:hideMark/>
          </w:tcPr>
          <w:p w14:paraId="5799DC9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0.035</w:t>
            </w:r>
          </w:p>
        </w:tc>
      </w:tr>
      <w:tr w:rsidR="00A90B69" w:rsidRPr="00516C1F" w14:paraId="686048CF"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4E32B61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21</w:t>
            </w:r>
          </w:p>
        </w:tc>
        <w:tc>
          <w:tcPr>
            <w:tcW w:w="4557" w:type="dxa"/>
            <w:tcBorders>
              <w:top w:val="nil"/>
              <w:left w:val="nil"/>
              <w:bottom w:val="single" w:sz="4" w:space="0" w:color="auto"/>
              <w:right w:val="single" w:sz="4" w:space="0" w:color="auto"/>
            </w:tcBorders>
            <w:noWrap/>
            <w:vAlign w:val="bottom"/>
            <w:hideMark/>
          </w:tcPr>
          <w:p w14:paraId="0A816894"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Budapest University of Technology and Economics (Hungary)</w:t>
            </w:r>
          </w:p>
        </w:tc>
        <w:tc>
          <w:tcPr>
            <w:tcW w:w="992"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2195BAC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BDE3C8"/>
            <w:noWrap/>
            <w:vAlign w:val="bottom"/>
            <w:hideMark/>
          </w:tcPr>
          <w:p w14:paraId="082B22F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E0F1E7"/>
            <w:noWrap/>
            <w:vAlign w:val="bottom"/>
            <w:hideMark/>
          </w:tcPr>
          <w:p w14:paraId="79E7FEF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0.413</w:t>
            </w:r>
          </w:p>
        </w:tc>
        <w:tc>
          <w:tcPr>
            <w:tcW w:w="1133" w:type="dxa"/>
            <w:tcBorders>
              <w:top w:val="single" w:sz="4" w:space="0" w:color="auto"/>
              <w:left w:val="single" w:sz="4" w:space="0" w:color="auto"/>
              <w:bottom w:val="single" w:sz="4" w:space="0" w:color="auto"/>
              <w:right w:val="single" w:sz="4" w:space="0" w:color="auto"/>
            </w:tcBorders>
            <w:shd w:val="clear" w:color="000000" w:fill="F3F8F7"/>
            <w:noWrap/>
            <w:vAlign w:val="bottom"/>
            <w:hideMark/>
          </w:tcPr>
          <w:p w14:paraId="542D494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0.022</w:t>
            </w:r>
          </w:p>
        </w:tc>
      </w:tr>
      <w:tr w:rsidR="00A90B69" w:rsidRPr="00516C1F" w14:paraId="63237B28"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50D6134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22</w:t>
            </w:r>
          </w:p>
        </w:tc>
        <w:tc>
          <w:tcPr>
            <w:tcW w:w="4557" w:type="dxa"/>
            <w:tcBorders>
              <w:top w:val="nil"/>
              <w:left w:val="nil"/>
              <w:bottom w:val="single" w:sz="4" w:space="0" w:color="auto"/>
              <w:right w:val="single" w:sz="4" w:space="0" w:color="auto"/>
            </w:tcBorders>
            <w:noWrap/>
            <w:vAlign w:val="bottom"/>
            <w:hideMark/>
          </w:tcPr>
          <w:p w14:paraId="3FAD673A"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Friedrich-Alexander University Erlangen-Nuremberg (Germany)</w:t>
            </w:r>
          </w:p>
        </w:tc>
        <w:tc>
          <w:tcPr>
            <w:tcW w:w="992"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7A5DE1E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B03FD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4A8E351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0.389</w:t>
            </w:r>
          </w:p>
        </w:tc>
        <w:tc>
          <w:tcPr>
            <w:tcW w:w="1133" w:type="dxa"/>
            <w:tcBorders>
              <w:top w:val="single" w:sz="4" w:space="0" w:color="auto"/>
              <w:left w:val="single" w:sz="4" w:space="0" w:color="auto"/>
              <w:bottom w:val="single" w:sz="4" w:space="0" w:color="auto"/>
              <w:right w:val="single" w:sz="4" w:space="0" w:color="auto"/>
            </w:tcBorders>
            <w:shd w:val="clear" w:color="000000" w:fill="FAD2D4"/>
            <w:noWrap/>
            <w:vAlign w:val="bottom"/>
            <w:hideMark/>
          </w:tcPr>
          <w:p w14:paraId="4C974AF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0B69" w:rsidRPr="00516C1F" w14:paraId="7C153B96"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338ABC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23</w:t>
            </w:r>
          </w:p>
        </w:tc>
        <w:tc>
          <w:tcPr>
            <w:tcW w:w="4557" w:type="dxa"/>
            <w:tcBorders>
              <w:top w:val="nil"/>
              <w:left w:val="nil"/>
              <w:bottom w:val="single" w:sz="4" w:space="0" w:color="auto"/>
              <w:right w:val="single" w:sz="4" w:space="0" w:color="auto"/>
            </w:tcBorders>
            <w:noWrap/>
            <w:vAlign w:val="bottom"/>
            <w:hideMark/>
          </w:tcPr>
          <w:p w14:paraId="10231A56"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Graz (Austria)</w:t>
            </w:r>
          </w:p>
        </w:tc>
        <w:tc>
          <w:tcPr>
            <w:tcW w:w="992"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2DB6005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DDF0E4"/>
            <w:noWrap/>
            <w:vAlign w:val="bottom"/>
            <w:hideMark/>
          </w:tcPr>
          <w:p w14:paraId="3A375B0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C0E4CB"/>
            <w:noWrap/>
            <w:vAlign w:val="bottom"/>
            <w:hideMark/>
          </w:tcPr>
          <w:p w14:paraId="78AAE99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0.447</w:t>
            </w:r>
          </w:p>
        </w:tc>
        <w:tc>
          <w:tcPr>
            <w:tcW w:w="1133" w:type="dxa"/>
            <w:tcBorders>
              <w:top w:val="single" w:sz="4" w:space="0" w:color="auto"/>
              <w:left w:val="single" w:sz="4" w:space="0" w:color="auto"/>
              <w:bottom w:val="single" w:sz="4" w:space="0" w:color="auto"/>
              <w:right w:val="single" w:sz="4" w:space="0" w:color="auto"/>
            </w:tcBorders>
            <w:shd w:val="clear" w:color="000000" w:fill="E3F2EA"/>
            <w:noWrap/>
            <w:vAlign w:val="bottom"/>
            <w:hideMark/>
          </w:tcPr>
          <w:p w14:paraId="4FD0107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0.048</w:t>
            </w:r>
          </w:p>
        </w:tc>
      </w:tr>
      <w:tr w:rsidR="00A90B69" w:rsidRPr="00516C1F" w14:paraId="0CB1303A"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559BE1D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24</w:t>
            </w:r>
          </w:p>
        </w:tc>
        <w:tc>
          <w:tcPr>
            <w:tcW w:w="4557" w:type="dxa"/>
            <w:tcBorders>
              <w:top w:val="nil"/>
              <w:left w:val="nil"/>
              <w:bottom w:val="single" w:sz="4" w:space="0" w:color="auto"/>
              <w:right w:val="single" w:sz="4" w:space="0" w:color="auto"/>
            </w:tcBorders>
            <w:noWrap/>
            <w:vAlign w:val="bottom"/>
            <w:hideMark/>
          </w:tcPr>
          <w:p w14:paraId="58335110"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Innsbruck (Austria)</w:t>
            </w:r>
          </w:p>
        </w:tc>
        <w:tc>
          <w:tcPr>
            <w:tcW w:w="992"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43B9C4D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48C1CA9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BEDF0"/>
            <w:noWrap/>
            <w:vAlign w:val="bottom"/>
            <w:hideMark/>
          </w:tcPr>
          <w:p w14:paraId="4D8501A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0.348</w:t>
            </w:r>
          </w:p>
        </w:tc>
        <w:tc>
          <w:tcPr>
            <w:tcW w:w="1133" w:type="dxa"/>
            <w:tcBorders>
              <w:top w:val="single" w:sz="4" w:space="0" w:color="auto"/>
              <w:left w:val="single" w:sz="4" w:space="0" w:color="auto"/>
              <w:bottom w:val="single" w:sz="4" w:space="0" w:color="auto"/>
              <w:right w:val="single" w:sz="4" w:space="0" w:color="auto"/>
            </w:tcBorders>
            <w:shd w:val="clear" w:color="000000" w:fill="E1F1E8"/>
            <w:noWrap/>
            <w:vAlign w:val="bottom"/>
            <w:hideMark/>
          </w:tcPr>
          <w:p w14:paraId="029E445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0.051</w:t>
            </w:r>
          </w:p>
        </w:tc>
      </w:tr>
      <w:tr w:rsidR="00A90B69" w:rsidRPr="00516C1F" w14:paraId="3202140E"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0493DA6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25</w:t>
            </w:r>
          </w:p>
        </w:tc>
        <w:tc>
          <w:tcPr>
            <w:tcW w:w="4557" w:type="dxa"/>
            <w:tcBorders>
              <w:top w:val="nil"/>
              <w:left w:val="nil"/>
              <w:bottom w:val="single" w:sz="4" w:space="0" w:color="auto"/>
              <w:right w:val="single" w:sz="4" w:space="0" w:color="auto"/>
            </w:tcBorders>
            <w:noWrap/>
            <w:vAlign w:val="bottom"/>
            <w:hideMark/>
          </w:tcPr>
          <w:p w14:paraId="372E1D70"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Solare </w:t>
            </w:r>
            <w:proofErr w:type="spellStart"/>
            <w:r w:rsidRPr="00516C1F">
              <w:rPr>
                <w:rFonts w:eastAsia="Times New Roman" w:cs="Calibri"/>
                <w:color w:val="000000"/>
                <w:kern w:val="0"/>
                <w:sz w:val="16"/>
                <w:szCs w:val="16"/>
                <w:lang w:val="en-GB"/>
                <w14:ligatures w14:val="none"/>
              </w:rPr>
              <w:t>Energiesysteme</w:t>
            </w:r>
            <w:proofErr w:type="spellEnd"/>
            <w:r w:rsidRPr="00516C1F">
              <w:rPr>
                <w:rFonts w:eastAsia="Times New Roman" w:cs="Calibri"/>
                <w:color w:val="000000"/>
                <w:kern w:val="0"/>
                <w:sz w:val="16"/>
                <w:szCs w:val="16"/>
                <w:lang w:val="en-GB"/>
                <w14:ligatures w14:val="none"/>
              </w:rPr>
              <w:t xml:space="preserve"> GmbH (Austria)</w:t>
            </w:r>
          </w:p>
        </w:tc>
        <w:tc>
          <w:tcPr>
            <w:tcW w:w="992"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7F2C2A9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5C6A615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AC8CB"/>
            <w:noWrap/>
            <w:vAlign w:val="bottom"/>
            <w:hideMark/>
          </w:tcPr>
          <w:p w14:paraId="7825C7F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0.258</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C75E5E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49D62D34"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14C832F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26</w:t>
            </w:r>
          </w:p>
        </w:tc>
        <w:tc>
          <w:tcPr>
            <w:tcW w:w="4557" w:type="dxa"/>
            <w:tcBorders>
              <w:top w:val="nil"/>
              <w:left w:val="nil"/>
              <w:bottom w:val="single" w:sz="4" w:space="0" w:color="auto"/>
              <w:right w:val="single" w:sz="4" w:space="0" w:color="auto"/>
            </w:tcBorders>
            <w:noWrap/>
            <w:vAlign w:val="bottom"/>
            <w:hideMark/>
          </w:tcPr>
          <w:p w14:paraId="5F579A9F"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Czech Technical University in Prague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3ED3B9C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5B89DB7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52B5EAA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0.353</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7F7006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7E12CE55"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389104E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27</w:t>
            </w:r>
          </w:p>
        </w:tc>
        <w:tc>
          <w:tcPr>
            <w:tcW w:w="4557" w:type="dxa"/>
            <w:tcBorders>
              <w:top w:val="nil"/>
              <w:left w:val="nil"/>
              <w:bottom w:val="single" w:sz="4" w:space="0" w:color="auto"/>
              <w:right w:val="single" w:sz="4" w:space="0" w:color="auto"/>
            </w:tcBorders>
            <w:noWrap/>
            <w:vAlign w:val="bottom"/>
            <w:hideMark/>
          </w:tcPr>
          <w:p w14:paraId="2E76B431"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JOANNEUM RESEARCH </w:t>
            </w:r>
            <w:proofErr w:type="spellStart"/>
            <w:r w:rsidRPr="00516C1F">
              <w:rPr>
                <w:rFonts w:eastAsia="Times New Roman" w:cs="Calibri"/>
                <w:color w:val="000000"/>
                <w:kern w:val="0"/>
                <w:sz w:val="16"/>
                <w:szCs w:val="16"/>
                <w:lang w:val="en-GB"/>
                <w14:ligatures w14:val="none"/>
              </w:rPr>
              <w:t>Forschungsgesellschaft</w:t>
            </w:r>
            <w:proofErr w:type="spellEnd"/>
            <w:r w:rsidRPr="00516C1F">
              <w:rPr>
                <w:rFonts w:eastAsia="Times New Roman" w:cs="Calibri"/>
                <w:color w:val="000000"/>
                <w:kern w:val="0"/>
                <w:sz w:val="16"/>
                <w:szCs w:val="16"/>
                <w:lang w:val="en-GB"/>
                <w14:ligatures w14:val="none"/>
              </w:rPr>
              <w:t xml:space="preserve"> </w:t>
            </w:r>
            <w:proofErr w:type="spellStart"/>
            <w:r w:rsidRPr="00516C1F">
              <w:rPr>
                <w:rFonts w:eastAsia="Times New Roman" w:cs="Calibri"/>
                <w:color w:val="000000"/>
                <w:kern w:val="0"/>
                <w:sz w:val="16"/>
                <w:szCs w:val="16"/>
                <w:lang w:val="en-GB"/>
                <w14:ligatures w14:val="none"/>
              </w:rPr>
              <w:t>mbH</w:t>
            </w:r>
            <w:proofErr w:type="spellEnd"/>
            <w:r w:rsidRPr="00516C1F">
              <w:rPr>
                <w:rFonts w:eastAsia="Times New Roman" w:cs="Calibri"/>
                <w:color w:val="000000"/>
                <w:kern w:val="0"/>
                <w:sz w:val="16"/>
                <w:szCs w:val="16"/>
                <w:lang w:val="en-GB"/>
                <w14:ligatures w14:val="none"/>
              </w:rPr>
              <w:t xml:space="preserve"> (Austria)</w:t>
            </w:r>
          </w:p>
        </w:tc>
        <w:tc>
          <w:tcPr>
            <w:tcW w:w="992"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1AEB893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58FB5BB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FBFC"/>
            <w:noWrap/>
            <w:vAlign w:val="bottom"/>
            <w:hideMark/>
          </w:tcPr>
          <w:p w14:paraId="3DFA74C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0.387</w:t>
            </w:r>
          </w:p>
        </w:tc>
        <w:tc>
          <w:tcPr>
            <w:tcW w:w="1133" w:type="dxa"/>
            <w:tcBorders>
              <w:top w:val="single" w:sz="4" w:space="0" w:color="auto"/>
              <w:left w:val="single" w:sz="4" w:space="0" w:color="auto"/>
              <w:bottom w:val="single" w:sz="4" w:space="0" w:color="auto"/>
              <w:right w:val="single" w:sz="4" w:space="0" w:color="auto"/>
            </w:tcBorders>
            <w:shd w:val="clear" w:color="000000" w:fill="F7FAFB"/>
            <w:noWrap/>
            <w:vAlign w:val="bottom"/>
            <w:hideMark/>
          </w:tcPr>
          <w:p w14:paraId="4C5F462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0.014</w:t>
            </w:r>
          </w:p>
        </w:tc>
      </w:tr>
      <w:tr w:rsidR="00A90B69" w:rsidRPr="00516C1F" w14:paraId="52A42563"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32828B5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28</w:t>
            </w:r>
          </w:p>
        </w:tc>
        <w:tc>
          <w:tcPr>
            <w:tcW w:w="4557" w:type="dxa"/>
            <w:tcBorders>
              <w:top w:val="nil"/>
              <w:left w:val="nil"/>
              <w:bottom w:val="single" w:sz="4" w:space="0" w:color="auto"/>
              <w:right w:val="single" w:sz="4" w:space="0" w:color="auto"/>
            </w:tcBorders>
            <w:noWrap/>
            <w:vAlign w:val="bottom"/>
            <w:hideMark/>
          </w:tcPr>
          <w:p w14:paraId="55294B9F"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Fenix TNT </w:t>
            </w:r>
            <w:proofErr w:type="spellStart"/>
            <w:r w:rsidRPr="00516C1F">
              <w:rPr>
                <w:rFonts w:eastAsia="Times New Roman" w:cs="Calibri"/>
                <w:color w:val="000000"/>
                <w:kern w:val="0"/>
                <w:sz w:val="16"/>
                <w:szCs w:val="16"/>
                <w:lang w:val="en-GB"/>
                <w14:ligatures w14:val="none"/>
              </w:rPr>
              <w:t>s.r.o.</w:t>
            </w:r>
            <w:proofErr w:type="spellEnd"/>
            <w:r w:rsidRPr="00516C1F">
              <w:rPr>
                <w:rFonts w:eastAsia="Times New Roman" w:cs="Calibri"/>
                <w:color w:val="000000"/>
                <w:kern w:val="0"/>
                <w:sz w:val="16"/>
                <w:szCs w:val="16"/>
                <w:lang w:val="en-GB"/>
                <w14:ligatures w14:val="none"/>
              </w:rPr>
              <w:t xml:space="preserve">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2C46EEA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83D3E2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BEEF1"/>
            <w:noWrap/>
            <w:vAlign w:val="bottom"/>
            <w:hideMark/>
          </w:tcPr>
          <w:p w14:paraId="20852ED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0.351</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062A01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64F3272C"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7E3B260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29</w:t>
            </w:r>
          </w:p>
        </w:tc>
        <w:tc>
          <w:tcPr>
            <w:tcW w:w="4557" w:type="dxa"/>
            <w:tcBorders>
              <w:top w:val="nil"/>
              <w:left w:val="nil"/>
              <w:bottom w:val="single" w:sz="4" w:space="0" w:color="auto"/>
              <w:right w:val="single" w:sz="4" w:space="0" w:color="auto"/>
            </w:tcBorders>
            <w:noWrap/>
            <w:vAlign w:val="bottom"/>
            <w:hideMark/>
          </w:tcPr>
          <w:p w14:paraId="3E2F8775"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Charles University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406C58F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179DBDD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1987DCB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0.376</w:t>
            </w:r>
          </w:p>
        </w:tc>
        <w:tc>
          <w:tcPr>
            <w:tcW w:w="1133" w:type="dxa"/>
            <w:tcBorders>
              <w:top w:val="single" w:sz="4" w:space="0" w:color="auto"/>
              <w:left w:val="single" w:sz="4" w:space="0" w:color="auto"/>
              <w:bottom w:val="single" w:sz="4" w:space="0" w:color="auto"/>
              <w:right w:val="single" w:sz="4" w:space="0" w:color="auto"/>
            </w:tcBorders>
            <w:shd w:val="clear" w:color="000000" w:fill="F88789"/>
            <w:noWrap/>
            <w:vAlign w:val="bottom"/>
            <w:hideMark/>
          </w:tcPr>
          <w:p w14:paraId="0C2AE72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003442C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5F32B8E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30</w:t>
            </w:r>
          </w:p>
        </w:tc>
        <w:tc>
          <w:tcPr>
            <w:tcW w:w="4557" w:type="dxa"/>
            <w:tcBorders>
              <w:top w:val="nil"/>
              <w:left w:val="nil"/>
              <w:bottom w:val="single" w:sz="4" w:space="0" w:color="auto"/>
              <w:right w:val="single" w:sz="4" w:space="0" w:color="auto"/>
            </w:tcBorders>
            <w:noWrap/>
            <w:vAlign w:val="bottom"/>
            <w:hideMark/>
          </w:tcPr>
          <w:p w14:paraId="37ED0BD4"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Steinbeis</w:t>
            </w:r>
            <w:proofErr w:type="spellEnd"/>
            <w:r w:rsidRPr="00516C1F">
              <w:rPr>
                <w:rFonts w:eastAsia="Times New Roman" w:cs="Calibri"/>
                <w:color w:val="000000"/>
                <w:kern w:val="0"/>
                <w:sz w:val="16"/>
                <w:szCs w:val="16"/>
                <w:lang w:val="en-GB"/>
                <w14:ligatures w14:val="none"/>
              </w:rPr>
              <w:t xml:space="preserve"> 2i GmbH (Germany)</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1BEB928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E3F2E9"/>
            <w:noWrap/>
            <w:vAlign w:val="bottom"/>
            <w:hideMark/>
          </w:tcPr>
          <w:p w14:paraId="37619FC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9</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73AB75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0.383</w:t>
            </w:r>
          </w:p>
        </w:tc>
        <w:tc>
          <w:tcPr>
            <w:tcW w:w="1133" w:type="dxa"/>
            <w:tcBorders>
              <w:top w:val="single" w:sz="4" w:space="0" w:color="auto"/>
              <w:left w:val="single" w:sz="4" w:space="0" w:color="auto"/>
              <w:bottom w:val="single" w:sz="4" w:space="0" w:color="auto"/>
              <w:right w:val="single" w:sz="4" w:space="0" w:color="auto"/>
            </w:tcBorders>
            <w:shd w:val="clear" w:color="000000" w:fill="F8FBFC"/>
            <w:noWrap/>
            <w:vAlign w:val="bottom"/>
            <w:hideMark/>
          </w:tcPr>
          <w:p w14:paraId="62981A4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0.012</w:t>
            </w:r>
          </w:p>
        </w:tc>
      </w:tr>
      <w:tr w:rsidR="00A90B69" w:rsidRPr="00516C1F" w14:paraId="019904F2"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FF275E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31</w:t>
            </w:r>
          </w:p>
        </w:tc>
        <w:tc>
          <w:tcPr>
            <w:tcW w:w="4557" w:type="dxa"/>
            <w:tcBorders>
              <w:top w:val="nil"/>
              <w:left w:val="nil"/>
              <w:bottom w:val="single" w:sz="4" w:space="0" w:color="auto"/>
              <w:right w:val="single" w:sz="4" w:space="0" w:color="auto"/>
            </w:tcBorders>
            <w:noWrap/>
            <w:vAlign w:val="bottom"/>
            <w:hideMark/>
          </w:tcPr>
          <w:p w14:paraId="43A10B50"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Czech University of Life Sciences Prague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143BC45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53E92ED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33B73FD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0.396</w:t>
            </w:r>
          </w:p>
        </w:tc>
        <w:tc>
          <w:tcPr>
            <w:tcW w:w="1133"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181891A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0.037</w:t>
            </w:r>
          </w:p>
        </w:tc>
      </w:tr>
      <w:tr w:rsidR="00A90B69" w:rsidRPr="00516C1F" w14:paraId="7B26A62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65F77C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32</w:t>
            </w:r>
          </w:p>
        </w:tc>
        <w:tc>
          <w:tcPr>
            <w:tcW w:w="4557" w:type="dxa"/>
            <w:tcBorders>
              <w:top w:val="nil"/>
              <w:left w:val="nil"/>
              <w:bottom w:val="single" w:sz="4" w:space="0" w:color="auto"/>
              <w:right w:val="single" w:sz="4" w:space="0" w:color="auto"/>
            </w:tcBorders>
            <w:noWrap/>
            <w:vAlign w:val="bottom"/>
            <w:hideMark/>
          </w:tcPr>
          <w:p w14:paraId="7781F7A9"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Pensoft Publishers (Bulgaria)</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5006FDD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3743F24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E0F1E7"/>
            <w:noWrap/>
            <w:vAlign w:val="bottom"/>
            <w:hideMark/>
          </w:tcPr>
          <w:p w14:paraId="44B3305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0.413</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953491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0B69" w:rsidRPr="00516C1F" w14:paraId="6FC82F4E"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14C120F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33</w:t>
            </w:r>
          </w:p>
        </w:tc>
        <w:tc>
          <w:tcPr>
            <w:tcW w:w="4557" w:type="dxa"/>
            <w:tcBorders>
              <w:top w:val="nil"/>
              <w:left w:val="nil"/>
              <w:bottom w:val="single" w:sz="4" w:space="0" w:color="auto"/>
              <w:right w:val="single" w:sz="4" w:space="0" w:color="auto"/>
            </w:tcBorders>
            <w:noWrap/>
            <w:vAlign w:val="bottom"/>
            <w:hideMark/>
          </w:tcPr>
          <w:p w14:paraId="501AE592"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Wirtschaft</w:t>
            </w:r>
            <w:proofErr w:type="spellEnd"/>
            <w:r w:rsidRPr="00516C1F">
              <w:rPr>
                <w:rFonts w:eastAsia="Times New Roman" w:cs="Calibri"/>
                <w:color w:val="000000"/>
                <w:kern w:val="0"/>
                <w:sz w:val="16"/>
                <w:szCs w:val="16"/>
                <w:lang w:val="en-GB"/>
                <w14:ligatures w14:val="none"/>
              </w:rPr>
              <w:t xml:space="preserve"> und </w:t>
            </w:r>
            <w:proofErr w:type="spellStart"/>
            <w:r w:rsidRPr="00516C1F">
              <w:rPr>
                <w:rFonts w:eastAsia="Times New Roman" w:cs="Calibri"/>
                <w:color w:val="000000"/>
                <w:kern w:val="0"/>
                <w:sz w:val="16"/>
                <w:szCs w:val="16"/>
                <w:lang w:val="en-GB"/>
                <w14:ligatures w14:val="none"/>
              </w:rPr>
              <w:t>Infrastruktur</w:t>
            </w:r>
            <w:proofErr w:type="spellEnd"/>
            <w:r w:rsidRPr="00516C1F">
              <w:rPr>
                <w:rFonts w:eastAsia="Times New Roman" w:cs="Calibri"/>
                <w:color w:val="000000"/>
                <w:kern w:val="0"/>
                <w:sz w:val="16"/>
                <w:szCs w:val="16"/>
                <w:lang w:val="en-GB"/>
                <w14:ligatures w14:val="none"/>
              </w:rPr>
              <w:t xml:space="preserve"> GmbH &amp; Co </w:t>
            </w:r>
            <w:proofErr w:type="spellStart"/>
            <w:r w:rsidRPr="00516C1F">
              <w:rPr>
                <w:rFonts w:eastAsia="Times New Roman" w:cs="Calibri"/>
                <w:color w:val="000000"/>
                <w:kern w:val="0"/>
                <w:sz w:val="16"/>
                <w:szCs w:val="16"/>
                <w:lang w:val="en-GB"/>
                <w14:ligatures w14:val="none"/>
              </w:rPr>
              <w:t>Planungs</w:t>
            </w:r>
            <w:proofErr w:type="spellEnd"/>
            <w:r w:rsidRPr="00516C1F">
              <w:rPr>
                <w:rFonts w:eastAsia="Times New Roman" w:cs="Calibri"/>
                <w:color w:val="000000"/>
                <w:kern w:val="0"/>
                <w:sz w:val="16"/>
                <w:szCs w:val="16"/>
                <w:lang w:val="en-GB"/>
                <w14:ligatures w14:val="none"/>
              </w:rPr>
              <w:t xml:space="preserve"> KG (Germany)</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32E5E83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390A0EB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1E4"/>
            <w:noWrap/>
            <w:vAlign w:val="bottom"/>
            <w:hideMark/>
          </w:tcPr>
          <w:p w14:paraId="51E498E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0.318</w:t>
            </w:r>
          </w:p>
        </w:tc>
        <w:tc>
          <w:tcPr>
            <w:tcW w:w="1133" w:type="dxa"/>
            <w:tcBorders>
              <w:top w:val="single" w:sz="4" w:space="0" w:color="auto"/>
              <w:left w:val="single" w:sz="4" w:space="0" w:color="auto"/>
              <w:bottom w:val="single" w:sz="4" w:space="0" w:color="auto"/>
              <w:right w:val="single" w:sz="4" w:space="0" w:color="auto"/>
            </w:tcBorders>
            <w:shd w:val="clear" w:color="000000" w:fill="F99597"/>
            <w:noWrap/>
            <w:vAlign w:val="bottom"/>
            <w:hideMark/>
          </w:tcPr>
          <w:p w14:paraId="49CA450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3D8CB778"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DCBC1E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34</w:t>
            </w:r>
          </w:p>
        </w:tc>
        <w:tc>
          <w:tcPr>
            <w:tcW w:w="4557" w:type="dxa"/>
            <w:tcBorders>
              <w:top w:val="nil"/>
              <w:left w:val="nil"/>
              <w:bottom w:val="single" w:sz="4" w:space="0" w:color="auto"/>
              <w:right w:val="single" w:sz="4" w:space="0" w:color="auto"/>
            </w:tcBorders>
            <w:noWrap/>
            <w:vAlign w:val="bottom"/>
            <w:hideMark/>
          </w:tcPr>
          <w:p w14:paraId="3CDA19BA"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Freiburg (Germany)</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1619BC9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7464429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455BB05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0.369</w:t>
            </w:r>
          </w:p>
        </w:tc>
        <w:tc>
          <w:tcPr>
            <w:tcW w:w="1133" w:type="dxa"/>
            <w:tcBorders>
              <w:top w:val="single" w:sz="4" w:space="0" w:color="auto"/>
              <w:left w:val="single" w:sz="4" w:space="0" w:color="auto"/>
              <w:bottom w:val="single" w:sz="4" w:space="0" w:color="auto"/>
              <w:right w:val="single" w:sz="4" w:space="0" w:color="auto"/>
            </w:tcBorders>
            <w:shd w:val="clear" w:color="000000" w:fill="F99698"/>
            <w:noWrap/>
            <w:vAlign w:val="bottom"/>
            <w:hideMark/>
          </w:tcPr>
          <w:p w14:paraId="6988BB7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1C02AFD1"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5A675E5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35</w:t>
            </w:r>
          </w:p>
        </w:tc>
        <w:tc>
          <w:tcPr>
            <w:tcW w:w="4557" w:type="dxa"/>
            <w:tcBorders>
              <w:top w:val="nil"/>
              <w:left w:val="nil"/>
              <w:bottom w:val="single" w:sz="4" w:space="0" w:color="auto"/>
              <w:right w:val="single" w:sz="4" w:space="0" w:color="auto"/>
            </w:tcBorders>
            <w:noWrap/>
            <w:vAlign w:val="bottom"/>
            <w:hideMark/>
          </w:tcPr>
          <w:p w14:paraId="4A9C2BF1"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Novi Sad Faculty of Sciences (Serbia)</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644E96B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14:paraId="35F7CB7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w:t>
            </w:r>
          </w:p>
        </w:tc>
        <w:tc>
          <w:tcPr>
            <w:tcW w:w="1134" w:type="dxa"/>
            <w:tcBorders>
              <w:top w:val="single" w:sz="4" w:space="0" w:color="auto"/>
              <w:left w:val="single" w:sz="4" w:space="0" w:color="auto"/>
              <w:bottom w:val="single" w:sz="4" w:space="0" w:color="auto"/>
              <w:right w:val="single" w:sz="4" w:space="0" w:color="auto"/>
            </w:tcBorders>
            <w:shd w:val="clear" w:color="000000" w:fill="F5FAF9"/>
            <w:noWrap/>
            <w:vAlign w:val="bottom"/>
            <w:hideMark/>
          </w:tcPr>
          <w:p w14:paraId="7E461CF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0.391</w:t>
            </w:r>
          </w:p>
        </w:tc>
        <w:tc>
          <w:tcPr>
            <w:tcW w:w="1133" w:type="dxa"/>
            <w:tcBorders>
              <w:top w:val="single" w:sz="4" w:space="0" w:color="auto"/>
              <w:left w:val="single" w:sz="4" w:space="0" w:color="auto"/>
              <w:bottom w:val="single" w:sz="4" w:space="0" w:color="auto"/>
              <w:right w:val="single" w:sz="4" w:space="0" w:color="auto"/>
            </w:tcBorders>
            <w:shd w:val="clear" w:color="000000" w:fill="F8FBFB"/>
            <w:noWrap/>
            <w:vAlign w:val="bottom"/>
            <w:hideMark/>
          </w:tcPr>
          <w:p w14:paraId="62D18C5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0.013</w:t>
            </w:r>
          </w:p>
        </w:tc>
      </w:tr>
      <w:tr w:rsidR="00A90B69" w:rsidRPr="00516C1F" w14:paraId="47980113"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2E1FAB3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36</w:t>
            </w:r>
          </w:p>
        </w:tc>
        <w:tc>
          <w:tcPr>
            <w:tcW w:w="4557" w:type="dxa"/>
            <w:tcBorders>
              <w:top w:val="nil"/>
              <w:left w:val="nil"/>
              <w:bottom w:val="single" w:sz="4" w:space="0" w:color="auto"/>
              <w:right w:val="single" w:sz="4" w:space="0" w:color="auto"/>
            </w:tcBorders>
            <w:noWrap/>
            <w:vAlign w:val="bottom"/>
            <w:hideMark/>
          </w:tcPr>
          <w:p w14:paraId="0FF7F8A2"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Bucharest (Romania)</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370A134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1893508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E6F4EC"/>
            <w:noWrap/>
            <w:vAlign w:val="bottom"/>
            <w:hideMark/>
          </w:tcPr>
          <w:p w14:paraId="6684556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0.406</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7DCD49E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0.008</w:t>
            </w:r>
          </w:p>
        </w:tc>
      </w:tr>
      <w:tr w:rsidR="00A90B69" w:rsidRPr="00516C1F" w14:paraId="031B26D3"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2D6E028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37</w:t>
            </w:r>
          </w:p>
        </w:tc>
        <w:tc>
          <w:tcPr>
            <w:tcW w:w="4557" w:type="dxa"/>
            <w:tcBorders>
              <w:top w:val="nil"/>
              <w:left w:val="nil"/>
              <w:bottom w:val="single" w:sz="4" w:space="0" w:color="auto"/>
              <w:right w:val="single" w:sz="4" w:space="0" w:color="auto"/>
            </w:tcBorders>
            <w:noWrap/>
            <w:vAlign w:val="bottom"/>
            <w:hideMark/>
          </w:tcPr>
          <w:p w14:paraId="7064D474"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Amires</w:t>
            </w:r>
            <w:proofErr w:type="spellEnd"/>
            <w:r w:rsidRPr="00516C1F">
              <w:rPr>
                <w:rFonts w:eastAsia="Times New Roman" w:cs="Calibri"/>
                <w:color w:val="000000"/>
                <w:kern w:val="0"/>
                <w:sz w:val="16"/>
                <w:szCs w:val="16"/>
                <w:lang w:val="en-GB"/>
                <w14:ligatures w14:val="none"/>
              </w:rPr>
              <w:t xml:space="preserve"> </w:t>
            </w:r>
            <w:proofErr w:type="spellStart"/>
            <w:r w:rsidRPr="00516C1F">
              <w:rPr>
                <w:rFonts w:eastAsia="Times New Roman" w:cs="Calibri"/>
                <w:color w:val="000000"/>
                <w:kern w:val="0"/>
                <w:sz w:val="16"/>
                <w:szCs w:val="16"/>
                <w:lang w:val="en-GB"/>
                <w14:ligatures w14:val="none"/>
              </w:rPr>
              <w:t>s.r.o.</w:t>
            </w:r>
            <w:proofErr w:type="spellEnd"/>
            <w:r w:rsidRPr="00516C1F">
              <w:rPr>
                <w:rFonts w:eastAsia="Times New Roman" w:cs="Calibri"/>
                <w:color w:val="000000"/>
                <w:kern w:val="0"/>
                <w:sz w:val="16"/>
                <w:szCs w:val="16"/>
                <w:lang w:val="en-GB"/>
                <w14:ligatures w14:val="none"/>
              </w:rPr>
              <w:t xml:space="preserve">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6737624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52C2D6B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17B369B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0.361</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8EC7A4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4D389E4D"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43AD0EE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38</w:t>
            </w:r>
          </w:p>
        </w:tc>
        <w:tc>
          <w:tcPr>
            <w:tcW w:w="4557" w:type="dxa"/>
            <w:tcBorders>
              <w:top w:val="nil"/>
              <w:left w:val="nil"/>
              <w:bottom w:val="single" w:sz="4" w:space="0" w:color="auto"/>
              <w:right w:val="single" w:sz="4" w:space="0" w:color="auto"/>
            </w:tcBorders>
            <w:noWrap/>
            <w:vAlign w:val="bottom"/>
            <w:hideMark/>
          </w:tcPr>
          <w:p w14:paraId="61214168"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Federal Institute for Geology, Geophysics, Climatology, and Meteorology (Austria)</w:t>
            </w:r>
          </w:p>
        </w:tc>
        <w:tc>
          <w:tcPr>
            <w:tcW w:w="992" w:type="dxa"/>
            <w:tcBorders>
              <w:top w:val="single" w:sz="4" w:space="0" w:color="auto"/>
              <w:left w:val="single" w:sz="4" w:space="0" w:color="auto"/>
              <w:bottom w:val="single" w:sz="4" w:space="0" w:color="auto"/>
              <w:right w:val="single" w:sz="4" w:space="0" w:color="auto"/>
            </w:tcBorders>
            <w:shd w:val="clear" w:color="000000" w:fill="FAFCFE"/>
            <w:noWrap/>
            <w:vAlign w:val="bottom"/>
            <w:hideMark/>
          </w:tcPr>
          <w:p w14:paraId="53D717E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14:paraId="7DBE0DE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w:t>
            </w:r>
          </w:p>
        </w:tc>
        <w:tc>
          <w:tcPr>
            <w:tcW w:w="1134" w:type="dxa"/>
            <w:tcBorders>
              <w:top w:val="single" w:sz="4" w:space="0" w:color="auto"/>
              <w:left w:val="single" w:sz="4" w:space="0" w:color="auto"/>
              <w:bottom w:val="single" w:sz="4" w:space="0" w:color="auto"/>
              <w:right w:val="single" w:sz="4" w:space="0" w:color="auto"/>
            </w:tcBorders>
            <w:shd w:val="clear" w:color="000000" w:fill="D4ECDD"/>
            <w:noWrap/>
            <w:vAlign w:val="bottom"/>
            <w:hideMark/>
          </w:tcPr>
          <w:p w14:paraId="7F284E3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0.426</w:t>
            </w:r>
          </w:p>
        </w:tc>
        <w:tc>
          <w:tcPr>
            <w:tcW w:w="1133"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484D015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0.026</w:t>
            </w:r>
          </w:p>
        </w:tc>
      </w:tr>
      <w:tr w:rsidR="00A90B69" w:rsidRPr="00516C1F" w14:paraId="5503E729"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101DBEF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39</w:t>
            </w:r>
          </w:p>
        </w:tc>
        <w:tc>
          <w:tcPr>
            <w:tcW w:w="4557" w:type="dxa"/>
            <w:tcBorders>
              <w:top w:val="nil"/>
              <w:left w:val="nil"/>
              <w:bottom w:val="single" w:sz="4" w:space="0" w:color="auto"/>
              <w:right w:val="single" w:sz="4" w:space="0" w:color="auto"/>
            </w:tcBorders>
            <w:noWrap/>
            <w:vAlign w:val="bottom"/>
            <w:hideMark/>
          </w:tcPr>
          <w:p w14:paraId="603334F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National Institute for Marine Geology and </w:t>
            </w:r>
            <w:proofErr w:type="spellStart"/>
            <w:r w:rsidRPr="00516C1F">
              <w:rPr>
                <w:rFonts w:eastAsia="Times New Roman" w:cs="Calibri"/>
                <w:color w:val="000000"/>
                <w:kern w:val="0"/>
                <w:sz w:val="16"/>
                <w:szCs w:val="16"/>
                <w:lang w:val="en-GB"/>
                <w14:ligatures w14:val="none"/>
              </w:rPr>
              <w:t>Geoecology</w:t>
            </w:r>
            <w:proofErr w:type="spellEnd"/>
            <w:r w:rsidRPr="00516C1F">
              <w:rPr>
                <w:rFonts w:eastAsia="Times New Roman" w:cs="Calibri"/>
                <w:color w:val="000000"/>
                <w:kern w:val="0"/>
                <w:sz w:val="16"/>
                <w:szCs w:val="16"/>
                <w:lang w:val="en-GB"/>
                <w14:ligatures w14:val="none"/>
              </w:rPr>
              <w:t xml:space="preserve"> - </w:t>
            </w:r>
            <w:proofErr w:type="spellStart"/>
            <w:r w:rsidRPr="00516C1F">
              <w:rPr>
                <w:rFonts w:eastAsia="Times New Roman" w:cs="Calibri"/>
                <w:color w:val="000000"/>
                <w:kern w:val="0"/>
                <w:sz w:val="16"/>
                <w:szCs w:val="16"/>
                <w:lang w:val="en-GB"/>
                <w14:ligatures w14:val="none"/>
              </w:rPr>
              <w:t>GeoEcoMar</w:t>
            </w:r>
            <w:proofErr w:type="spellEnd"/>
            <w:r w:rsidRPr="00516C1F">
              <w:rPr>
                <w:rFonts w:eastAsia="Times New Roman" w:cs="Calibri"/>
                <w:color w:val="000000"/>
                <w:kern w:val="0"/>
                <w:sz w:val="16"/>
                <w:szCs w:val="16"/>
                <w:lang w:val="en-GB"/>
                <w14:ligatures w14:val="none"/>
              </w:rPr>
              <w:t xml:space="preserve"> (Romania)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84970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BDE3C8"/>
            <w:noWrap/>
            <w:vAlign w:val="bottom"/>
            <w:hideMark/>
          </w:tcPr>
          <w:p w14:paraId="24A33F4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DAEFE2"/>
            <w:noWrap/>
            <w:vAlign w:val="bottom"/>
            <w:hideMark/>
          </w:tcPr>
          <w:p w14:paraId="25BEC50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0.419</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298A52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0.006</w:t>
            </w:r>
          </w:p>
        </w:tc>
      </w:tr>
      <w:tr w:rsidR="00A90B69" w:rsidRPr="00516C1F" w14:paraId="021CBC5B"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11C7F99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40</w:t>
            </w:r>
          </w:p>
        </w:tc>
        <w:tc>
          <w:tcPr>
            <w:tcW w:w="4557" w:type="dxa"/>
            <w:tcBorders>
              <w:top w:val="nil"/>
              <w:left w:val="nil"/>
              <w:bottom w:val="single" w:sz="4" w:space="0" w:color="auto"/>
              <w:right w:val="single" w:sz="4" w:space="0" w:color="auto"/>
            </w:tcBorders>
            <w:noWrap/>
            <w:vAlign w:val="bottom"/>
            <w:hideMark/>
          </w:tcPr>
          <w:p w14:paraId="3FC0078D"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Autonomous Administration for Nuclear Energy Technologies (Romania)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EE8E4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ED6174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5FAF9"/>
            <w:noWrap/>
            <w:vAlign w:val="bottom"/>
            <w:hideMark/>
          </w:tcPr>
          <w:p w14:paraId="46471F6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0.391</w:t>
            </w:r>
          </w:p>
        </w:tc>
        <w:tc>
          <w:tcPr>
            <w:tcW w:w="1133" w:type="dxa"/>
            <w:tcBorders>
              <w:top w:val="single" w:sz="4" w:space="0" w:color="auto"/>
              <w:left w:val="single" w:sz="4" w:space="0" w:color="auto"/>
              <w:bottom w:val="single" w:sz="4" w:space="0" w:color="auto"/>
              <w:right w:val="single" w:sz="4" w:space="0" w:color="auto"/>
            </w:tcBorders>
            <w:shd w:val="clear" w:color="000000" w:fill="F9A3A6"/>
            <w:noWrap/>
            <w:vAlign w:val="bottom"/>
            <w:hideMark/>
          </w:tcPr>
          <w:p w14:paraId="318CD03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0B69" w:rsidRPr="00516C1F" w14:paraId="244FD4F1"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2372918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41</w:t>
            </w:r>
          </w:p>
        </w:tc>
        <w:tc>
          <w:tcPr>
            <w:tcW w:w="4557" w:type="dxa"/>
            <w:tcBorders>
              <w:top w:val="nil"/>
              <w:left w:val="nil"/>
              <w:bottom w:val="single" w:sz="4" w:space="0" w:color="auto"/>
              <w:right w:val="single" w:sz="4" w:space="0" w:color="auto"/>
            </w:tcBorders>
            <w:noWrap/>
            <w:vAlign w:val="bottom"/>
            <w:hideMark/>
          </w:tcPr>
          <w:p w14:paraId="7D45B0C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Lower Danube River Administration (Romania)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9C814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1017CAA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E6F4EC"/>
            <w:noWrap/>
            <w:vAlign w:val="bottom"/>
            <w:hideMark/>
          </w:tcPr>
          <w:p w14:paraId="7BC5032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0.406</w:t>
            </w:r>
          </w:p>
        </w:tc>
        <w:tc>
          <w:tcPr>
            <w:tcW w:w="1133" w:type="dxa"/>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50172E1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0.011</w:t>
            </w:r>
          </w:p>
        </w:tc>
      </w:tr>
      <w:tr w:rsidR="00A90B69" w:rsidRPr="00516C1F" w14:paraId="757835D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25A8D7F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42</w:t>
            </w:r>
          </w:p>
        </w:tc>
        <w:tc>
          <w:tcPr>
            <w:tcW w:w="4557" w:type="dxa"/>
            <w:tcBorders>
              <w:top w:val="nil"/>
              <w:left w:val="nil"/>
              <w:bottom w:val="single" w:sz="4" w:space="0" w:color="auto"/>
              <w:right w:val="single" w:sz="4" w:space="0" w:color="auto"/>
            </w:tcBorders>
            <w:noWrap/>
            <w:vAlign w:val="bottom"/>
            <w:hideMark/>
          </w:tcPr>
          <w:p w14:paraId="59715A2B"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Ruđer</w:t>
            </w:r>
            <w:proofErr w:type="spellEnd"/>
            <w:r w:rsidRPr="00516C1F">
              <w:rPr>
                <w:rFonts w:eastAsia="Times New Roman" w:cs="Calibri"/>
                <w:color w:val="000000"/>
                <w:kern w:val="0"/>
                <w:sz w:val="16"/>
                <w:szCs w:val="16"/>
                <w:lang w:val="en-GB"/>
                <w14:ligatures w14:val="none"/>
              </w:rPr>
              <w:t xml:space="preserve"> Bošković Institute (Croatia)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C9D1C1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B6E0C3"/>
            <w:noWrap/>
            <w:vAlign w:val="bottom"/>
            <w:hideMark/>
          </w:tcPr>
          <w:p w14:paraId="624C14A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16</w:t>
            </w:r>
          </w:p>
        </w:tc>
        <w:tc>
          <w:tcPr>
            <w:tcW w:w="1134" w:type="dxa"/>
            <w:tcBorders>
              <w:top w:val="single" w:sz="4" w:space="0" w:color="auto"/>
              <w:left w:val="single" w:sz="4" w:space="0" w:color="auto"/>
              <w:bottom w:val="single" w:sz="4" w:space="0" w:color="auto"/>
              <w:right w:val="single" w:sz="4" w:space="0" w:color="auto"/>
            </w:tcBorders>
            <w:shd w:val="clear" w:color="000000" w:fill="C9E8D3"/>
            <w:noWrap/>
            <w:vAlign w:val="bottom"/>
            <w:hideMark/>
          </w:tcPr>
          <w:p w14:paraId="1BC0D9E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0.438</w:t>
            </w:r>
          </w:p>
        </w:tc>
        <w:tc>
          <w:tcPr>
            <w:tcW w:w="1133"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507361B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0.019</w:t>
            </w:r>
          </w:p>
        </w:tc>
      </w:tr>
      <w:tr w:rsidR="00A90B69" w:rsidRPr="00516C1F" w14:paraId="4B08E5A5"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1FB6783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43</w:t>
            </w:r>
          </w:p>
        </w:tc>
        <w:tc>
          <w:tcPr>
            <w:tcW w:w="4557" w:type="dxa"/>
            <w:tcBorders>
              <w:top w:val="nil"/>
              <w:left w:val="nil"/>
              <w:bottom w:val="single" w:sz="4" w:space="0" w:color="auto"/>
              <w:right w:val="single" w:sz="4" w:space="0" w:color="auto"/>
            </w:tcBorders>
            <w:noWrap/>
            <w:vAlign w:val="bottom"/>
            <w:hideMark/>
          </w:tcPr>
          <w:p w14:paraId="362D7F50"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HUN-REN Centre for Energy Research (Hungary)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79EA8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DDF0E4"/>
            <w:noWrap/>
            <w:vAlign w:val="bottom"/>
            <w:hideMark/>
          </w:tcPr>
          <w:p w14:paraId="02279F1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10</w:t>
            </w:r>
          </w:p>
        </w:tc>
        <w:tc>
          <w:tcPr>
            <w:tcW w:w="1134" w:type="dxa"/>
            <w:tcBorders>
              <w:top w:val="single" w:sz="4" w:space="0" w:color="auto"/>
              <w:left w:val="single" w:sz="4" w:space="0" w:color="auto"/>
              <w:bottom w:val="single" w:sz="4" w:space="0" w:color="auto"/>
              <w:right w:val="single" w:sz="4" w:space="0" w:color="auto"/>
            </w:tcBorders>
            <w:shd w:val="clear" w:color="000000" w:fill="C9E8D3"/>
            <w:noWrap/>
            <w:vAlign w:val="bottom"/>
            <w:hideMark/>
          </w:tcPr>
          <w:p w14:paraId="450F82A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0.438</w:t>
            </w:r>
          </w:p>
        </w:tc>
        <w:tc>
          <w:tcPr>
            <w:tcW w:w="1133" w:type="dxa"/>
            <w:tcBorders>
              <w:top w:val="single" w:sz="4" w:space="0" w:color="auto"/>
              <w:left w:val="single" w:sz="4" w:space="0" w:color="auto"/>
              <w:bottom w:val="single" w:sz="4" w:space="0" w:color="auto"/>
              <w:right w:val="single" w:sz="4" w:space="0" w:color="auto"/>
            </w:tcBorders>
            <w:shd w:val="clear" w:color="000000" w:fill="F8FBFB"/>
            <w:noWrap/>
            <w:vAlign w:val="bottom"/>
            <w:hideMark/>
          </w:tcPr>
          <w:p w14:paraId="7F145B8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0.013</w:t>
            </w:r>
          </w:p>
        </w:tc>
      </w:tr>
      <w:tr w:rsidR="00A90B69" w:rsidRPr="00516C1F" w14:paraId="5F1B683E"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2F5ED86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44</w:t>
            </w:r>
          </w:p>
        </w:tc>
        <w:tc>
          <w:tcPr>
            <w:tcW w:w="4557" w:type="dxa"/>
            <w:tcBorders>
              <w:top w:val="nil"/>
              <w:left w:val="nil"/>
              <w:bottom w:val="single" w:sz="4" w:space="0" w:color="auto"/>
              <w:right w:val="single" w:sz="4" w:space="0" w:color="auto"/>
            </w:tcBorders>
            <w:noWrap/>
            <w:vAlign w:val="bottom"/>
            <w:hideMark/>
          </w:tcPr>
          <w:p w14:paraId="64A11C71"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Centre for Social Innovation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3CD154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3DB568A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11</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737BD8A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0.396</w:t>
            </w:r>
          </w:p>
        </w:tc>
        <w:tc>
          <w:tcPr>
            <w:tcW w:w="1133" w:type="dxa"/>
            <w:tcBorders>
              <w:top w:val="single" w:sz="4" w:space="0" w:color="auto"/>
              <w:left w:val="single" w:sz="4" w:space="0" w:color="auto"/>
              <w:bottom w:val="single" w:sz="4" w:space="0" w:color="auto"/>
              <w:right w:val="single" w:sz="4" w:space="0" w:color="auto"/>
            </w:tcBorders>
            <w:shd w:val="clear" w:color="000000" w:fill="FAD2D5"/>
            <w:noWrap/>
            <w:vAlign w:val="bottom"/>
            <w:hideMark/>
          </w:tcPr>
          <w:p w14:paraId="71337BA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0.003</w:t>
            </w:r>
          </w:p>
        </w:tc>
      </w:tr>
      <w:tr w:rsidR="00A90B69" w:rsidRPr="00516C1F" w14:paraId="127ADD85"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397B03B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45</w:t>
            </w:r>
          </w:p>
        </w:tc>
        <w:tc>
          <w:tcPr>
            <w:tcW w:w="4557" w:type="dxa"/>
            <w:tcBorders>
              <w:top w:val="nil"/>
              <w:left w:val="nil"/>
              <w:bottom w:val="single" w:sz="4" w:space="0" w:color="auto"/>
              <w:right w:val="single" w:sz="4" w:space="0" w:color="auto"/>
            </w:tcBorders>
            <w:noWrap/>
            <w:vAlign w:val="bottom"/>
            <w:hideMark/>
          </w:tcPr>
          <w:p w14:paraId="3F4B551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MANN+HUMMEL GmbH (Germany)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0CD8C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FE540A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AD4D7"/>
            <w:noWrap/>
            <w:vAlign w:val="bottom"/>
            <w:hideMark/>
          </w:tcPr>
          <w:p w14:paraId="08EF2CC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0.287</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A949DE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231F7A88"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0E91040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46</w:t>
            </w:r>
          </w:p>
        </w:tc>
        <w:tc>
          <w:tcPr>
            <w:tcW w:w="4557" w:type="dxa"/>
            <w:tcBorders>
              <w:top w:val="nil"/>
              <w:left w:val="nil"/>
              <w:bottom w:val="single" w:sz="4" w:space="0" w:color="auto"/>
              <w:right w:val="single" w:sz="4" w:space="0" w:color="auto"/>
            </w:tcBorders>
            <w:noWrap/>
            <w:vAlign w:val="bottom"/>
            <w:hideMark/>
          </w:tcPr>
          <w:p w14:paraId="6C54F3D5"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Graz University of Technology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1B2A6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3736FE0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DCDF"/>
            <w:noWrap/>
            <w:vAlign w:val="bottom"/>
            <w:hideMark/>
          </w:tcPr>
          <w:p w14:paraId="53BCEE8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0.307</w:t>
            </w:r>
          </w:p>
        </w:tc>
        <w:tc>
          <w:tcPr>
            <w:tcW w:w="1133" w:type="dxa"/>
            <w:tcBorders>
              <w:top w:val="single" w:sz="4" w:space="0" w:color="auto"/>
              <w:left w:val="single" w:sz="4" w:space="0" w:color="auto"/>
              <w:bottom w:val="single" w:sz="4" w:space="0" w:color="auto"/>
              <w:right w:val="single" w:sz="4" w:space="0" w:color="auto"/>
            </w:tcBorders>
            <w:shd w:val="clear" w:color="000000" w:fill="F87C7E"/>
            <w:noWrap/>
            <w:vAlign w:val="bottom"/>
            <w:hideMark/>
          </w:tcPr>
          <w:p w14:paraId="12174E3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3CAAB451"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09AC66E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47</w:t>
            </w:r>
          </w:p>
        </w:tc>
        <w:tc>
          <w:tcPr>
            <w:tcW w:w="4557" w:type="dxa"/>
            <w:tcBorders>
              <w:top w:val="nil"/>
              <w:left w:val="nil"/>
              <w:bottom w:val="single" w:sz="4" w:space="0" w:color="auto"/>
              <w:right w:val="single" w:sz="4" w:space="0" w:color="auto"/>
            </w:tcBorders>
            <w:noWrap/>
            <w:vAlign w:val="bottom"/>
            <w:hideMark/>
          </w:tcPr>
          <w:p w14:paraId="35F3BDC6"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West Bohemia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2C42E5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1B31CE0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ACFD2"/>
            <w:noWrap/>
            <w:vAlign w:val="bottom"/>
            <w:hideMark/>
          </w:tcPr>
          <w:p w14:paraId="60B93B3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0.275</w:t>
            </w:r>
          </w:p>
        </w:tc>
        <w:tc>
          <w:tcPr>
            <w:tcW w:w="1133" w:type="dxa"/>
            <w:tcBorders>
              <w:top w:val="single" w:sz="4" w:space="0" w:color="auto"/>
              <w:left w:val="single" w:sz="4" w:space="0" w:color="auto"/>
              <w:bottom w:val="single" w:sz="4" w:space="0" w:color="auto"/>
              <w:right w:val="single" w:sz="4" w:space="0" w:color="auto"/>
            </w:tcBorders>
            <w:shd w:val="clear" w:color="000000" w:fill="F9A8AA"/>
            <w:noWrap/>
            <w:vAlign w:val="bottom"/>
            <w:hideMark/>
          </w:tcPr>
          <w:p w14:paraId="3D212C3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0B69" w:rsidRPr="00516C1F" w14:paraId="6ECB5449"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7BD45BF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48</w:t>
            </w:r>
          </w:p>
        </w:tc>
        <w:tc>
          <w:tcPr>
            <w:tcW w:w="4557" w:type="dxa"/>
            <w:tcBorders>
              <w:top w:val="nil"/>
              <w:left w:val="nil"/>
              <w:bottom w:val="single" w:sz="4" w:space="0" w:color="auto"/>
              <w:right w:val="single" w:sz="4" w:space="0" w:color="auto"/>
            </w:tcBorders>
            <w:noWrap/>
            <w:vAlign w:val="bottom"/>
            <w:hideMark/>
          </w:tcPr>
          <w:p w14:paraId="1CD8288F"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Proman</w:t>
            </w:r>
            <w:proofErr w:type="spellEnd"/>
            <w:r w:rsidRPr="00516C1F">
              <w:rPr>
                <w:rFonts w:eastAsia="Times New Roman" w:cs="Calibri"/>
                <w:color w:val="000000"/>
                <w:kern w:val="0"/>
                <w:sz w:val="16"/>
                <w:szCs w:val="16"/>
                <w:lang w:val="en-GB"/>
                <w14:ligatures w14:val="none"/>
              </w:rPr>
              <w:t xml:space="preserve"> Management GmbH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B98C11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34E36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E04C1E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0.024</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8FB2C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049D7D2E"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096D715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49</w:t>
            </w:r>
          </w:p>
        </w:tc>
        <w:tc>
          <w:tcPr>
            <w:tcW w:w="4557" w:type="dxa"/>
            <w:tcBorders>
              <w:top w:val="nil"/>
              <w:left w:val="nil"/>
              <w:bottom w:val="single" w:sz="4" w:space="0" w:color="auto"/>
              <w:right w:val="single" w:sz="4" w:space="0" w:color="auto"/>
            </w:tcBorders>
            <w:noWrap/>
            <w:vAlign w:val="bottom"/>
            <w:hideMark/>
          </w:tcPr>
          <w:p w14:paraId="46A254D9"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Centre for Solar Energy and Hydrogen Research Baden-Württemberg (Germany)</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C9DE9C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311EC5D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AC8CB"/>
            <w:noWrap/>
            <w:vAlign w:val="bottom"/>
            <w:hideMark/>
          </w:tcPr>
          <w:p w14:paraId="0499CD8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0.258</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6ECC3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5911D7A1"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28D7F25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50</w:t>
            </w:r>
          </w:p>
        </w:tc>
        <w:tc>
          <w:tcPr>
            <w:tcW w:w="4557" w:type="dxa"/>
            <w:tcBorders>
              <w:top w:val="nil"/>
              <w:left w:val="nil"/>
              <w:bottom w:val="single" w:sz="4" w:space="0" w:color="auto"/>
              <w:right w:val="single" w:sz="4" w:space="0" w:color="auto"/>
            </w:tcBorders>
            <w:noWrap/>
            <w:vAlign w:val="bottom"/>
            <w:hideMark/>
          </w:tcPr>
          <w:p w14:paraId="7F7939B6"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alchemia</w:t>
            </w:r>
            <w:proofErr w:type="spellEnd"/>
            <w:r w:rsidRPr="00516C1F">
              <w:rPr>
                <w:rFonts w:eastAsia="Times New Roman" w:cs="Calibri"/>
                <w:color w:val="000000"/>
                <w:kern w:val="0"/>
                <w:sz w:val="16"/>
                <w:szCs w:val="16"/>
                <w:lang w:val="en-GB"/>
                <w14:ligatures w14:val="none"/>
              </w:rPr>
              <w:t xml:space="preserve">-nova Research &amp; Innovation </w:t>
            </w:r>
            <w:proofErr w:type="spellStart"/>
            <w:r w:rsidRPr="00516C1F">
              <w:rPr>
                <w:rFonts w:eastAsia="Times New Roman" w:cs="Calibri"/>
                <w:color w:val="000000"/>
                <w:kern w:val="0"/>
                <w:sz w:val="16"/>
                <w:szCs w:val="16"/>
                <w:lang w:val="en-GB"/>
                <w14:ligatures w14:val="none"/>
              </w:rPr>
              <w:t>gemeinnützige</w:t>
            </w:r>
            <w:proofErr w:type="spellEnd"/>
            <w:r w:rsidRPr="00516C1F">
              <w:rPr>
                <w:rFonts w:eastAsia="Times New Roman" w:cs="Calibri"/>
                <w:color w:val="000000"/>
                <w:kern w:val="0"/>
                <w:sz w:val="16"/>
                <w:szCs w:val="16"/>
                <w:lang w:val="en-GB"/>
                <w14:ligatures w14:val="none"/>
              </w:rPr>
              <w:t xml:space="preserve"> GmbH (Austria)</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A8053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0DCB97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BDCDF"/>
            <w:noWrap/>
            <w:vAlign w:val="bottom"/>
            <w:hideMark/>
          </w:tcPr>
          <w:p w14:paraId="7EC3E3B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0.307</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C02F8D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5DD2B07D"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1C8A0ED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51</w:t>
            </w:r>
          </w:p>
        </w:tc>
        <w:tc>
          <w:tcPr>
            <w:tcW w:w="4557" w:type="dxa"/>
            <w:tcBorders>
              <w:top w:val="nil"/>
              <w:left w:val="nil"/>
              <w:bottom w:val="single" w:sz="4" w:space="0" w:color="auto"/>
              <w:right w:val="single" w:sz="4" w:space="0" w:color="auto"/>
            </w:tcBorders>
            <w:noWrap/>
            <w:vAlign w:val="bottom"/>
            <w:hideMark/>
          </w:tcPr>
          <w:p w14:paraId="7766F470"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National Institute for Research and Development in the Danube Delta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3BC535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BDE3C8"/>
            <w:noWrap/>
            <w:vAlign w:val="bottom"/>
            <w:hideMark/>
          </w:tcPr>
          <w:p w14:paraId="2AD604C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D4ECDD"/>
            <w:noWrap/>
            <w:vAlign w:val="bottom"/>
            <w:hideMark/>
          </w:tcPr>
          <w:p w14:paraId="6F8112E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0.426</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5BF7AB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0B69" w:rsidRPr="00516C1F" w14:paraId="7C331D8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76C9A39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52</w:t>
            </w:r>
          </w:p>
        </w:tc>
        <w:tc>
          <w:tcPr>
            <w:tcW w:w="4557" w:type="dxa"/>
            <w:tcBorders>
              <w:top w:val="nil"/>
              <w:left w:val="nil"/>
              <w:bottom w:val="single" w:sz="4" w:space="0" w:color="auto"/>
              <w:right w:val="single" w:sz="4" w:space="0" w:color="auto"/>
            </w:tcBorders>
            <w:noWrap/>
            <w:vAlign w:val="bottom"/>
            <w:hideMark/>
          </w:tcPr>
          <w:p w14:paraId="3095E58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Elaphe Propulsion Technologies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193F1E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23B497D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DF0"/>
            <w:noWrap/>
            <w:vAlign w:val="bottom"/>
            <w:hideMark/>
          </w:tcPr>
          <w:p w14:paraId="6231FA4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0.348</w:t>
            </w:r>
          </w:p>
        </w:tc>
        <w:tc>
          <w:tcPr>
            <w:tcW w:w="1133" w:type="dxa"/>
            <w:tcBorders>
              <w:top w:val="single" w:sz="4" w:space="0" w:color="auto"/>
              <w:left w:val="single" w:sz="4" w:space="0" w:color="auto"/>
              <w:bottom w:val="single" w:sz="4" w:space="0" w:color="auto"/>
              <w:right w:val="single" w:sz="4" w:space="0" w:color="auto"/>
            </w:tcBorders>
            <w:shd w:val="clear" w:color="000000" w:fill="F87A7C"/>
            <w:noWrap/>
            <w:vAlign w:val="bottom"/>
            <w:hideMark/>
          </w:tcPr>
          <w:p w14:paraId="325B861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66C183C3"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5000BEB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53</w:t>
            </w:r>
          </w:p>
        </w:tc>
        <w:tc>
          <w:tcPr>
            <w:tcW w:w="4557" w:type="dxa"/>
            <w:tcBorders>
              <w:top w:val="nil"/>
              <w:left w:val="nil"/>
              <w:bottom w:val="single" w:sz="4" w:space="0" w:color="auto"/>
              <w:right w:val="single" w:sz="4" w:space="0" w:color="auto"/>
            </w:tcBorders>
            <w:noWrap/>
            <w:vAlign w:val="bottom"/>
            <w:hideMark/>
          </w:tcPr>
          <w:p w14:paraId="47A0C034"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Executive Agency for Exploration and Maintenance of the Danube (Bulgaria)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FA694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BDE3C8"/>
            <w:noWrap/>
            <w:vAlign w:val="bottom"/>
            <w:hideMark/>
          </w:tcPr>
          <w:p w14:paraId="2DA683B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15</w:t>
            </w:r>
          </w:p>
        </w:tc>
        <w:tc>
          <w:tcPr>
            <w:tcW w:w="1134" w:type="dxa"/>
            <w:tcBorders>
              <w:top w:val="single" w:sz="4" w:space="0" w:color="auto"/>
              <w:left w:val="single" w:sz="4" w:space="0" w:color="auto"/>
              <w:bottom w:val="single" w:sz="4" w:space="0" w:color="auto"/>
              <w:right w:val="single" w:sz="4" w:space="0" w:color="auto"/>
            </w:tcBorders>
            <w:shd w:val="clear" w:color="000000" w:fill="CDE9D7"/>
            <w:noWrap/>
            <w:vAlign w:val="bottom"/>
            <w:hideMark/>
          </w:tcPr>
          <w:p w14:paraId="6817EE1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0.433</w:t>
            </w:r>
          </w:p>
        </w:tc>
        <w:tc>
          <w:tcPr>
            <w:tcW w:w="1133" w:type="dxa"/>
            <w:tcBorders>
              <w:top w:val="single" w:sz="4" w:space="0" w:color="auto"/>
              <w:left w:val="single" w:sz="4" w:space="0" w:color="auto"/>
              <w:bottom w:val="single" w:sz="4" w:space="0" w:color="auto"/>
              <w:right w:val="single" w:sz="4" w:space="0" w:color="auto"/>
            </w:tcBorders>
            <w:shd w:val="clear" w:color="000000" w:fill="FAFCFD"/>
            <w:noWrap/>
            <w:vAlign w:val="bottom"/>
            <w:hideMark/>
          </w:tcPr>
          <w:p w14:paraId="7916477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0.009</w:t>
            </w:r>
          </w:p>
        </w:tc>
      </w:tr>
      <w:tr w:rsidR="00A90B69" w:rsidRPr="00516C1F" w14:paraId="4A9BC05C"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28E8CBB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54</w:t>
            </w:r>
          </w:p>
        </w:tc>
        <w:tc>
          <w:tcPr>
            <w:tcW w:w="4557" w:type="dxa"/>
            <w:tcBorders>
              <w:top w:val="nil"/>
              <w:left w:val="nil"/>
              <w:bottom w:val="single" w:sz="4" w:space="0" w:color="auto"/>
              <w:right w:val="single" w:sz="4" w:space="0" w:color="auto"/>
            </w:tcBorders>
            <w:noWrap/>
            <w:vAlign w:val="bottom"/>
            <w:hideMark/>
          </w:tcPr>
          <w:p w14:paraId="05DB4F2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via </w:t>
            </w:r>
            <w:proofErr w:type="spellStart"/>
            <w:r w:rsidRPr="00516C1F">
              <w:rPr>
                <w:rFonts w:eastAsia="Times New Roman" w:cs="Calibri"/>
                <w:color w:val="000000"/>
                <w:kern w:val="0"/>
                <w:sz w:val="16"/>
                <w:szCs w:val="16"/>
                <w:lang w:val="en-GB"/>
                <w14:ligatures w14:val="none"/>
              </w:rPr>
              <w:t>donau</w:t>
            </w:r>
            <w:proofErr w:type="spellEnd"/>
            <w:r w:rsidRPr="00516C1F">
              <w:rPr>
                <w:rFonts w:eastAsia="Times New Roman" w:cs="Calibri"/>
                <w:color w:val="000000"/>
                <w:kern w:val="0"/>
                <w:sz w:val="16"/>
                <w:szCs w:val="16"/>
                <w:lang w:val="en-GB"/>
                <w14:ligatures w14:val="none"/>
              </w:rPr>
              <w:t xml:space="preserve"> - Austrian Waterway Company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97906D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CAE8D4"/>
            <w:noWrap/>
            <w:vAlign w:val="bottom"/>
            <w:hideMark/>
          </w:tcPr>
          <w:p w14:paraId="4308B80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13</w:t>
            </w:r>
          </w:p>
        </w:tc>
        <w:tc>
          <w:tcPr>
            <w:tcW w:w="1134" w:type="dxa"/>
            <w:tcBorders>
              <w:top w:val="single" w:sz="4" w:space="0" w:color="auto"/>
              <w:left w:val="single" w:sz="4" w:space="0" w:color="auto"/>
              <w:bottom w:val="single" w:sz="4" w:space="0" w:color="auto"/>
              <w:right w:val="single" w:sz="4" w:space="0" w:color="auto"/>
            </w:tcBorders>
            <w:shd w:val="clear" w:color="000000" w:fill="DEF0E6"/>
            <w:noWrap/>
            <w:vAlign w:val="bottom"/>
            <w:hideMark/>
          </w:tcPr>
          <w:p w14:paraId="4089C94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0.415</w:t>
            </w:r>
          </w:p>
        </w:tc>
        <w:tc>
          <w:tcPr>
            <w:tcW w:w="1133" w:type="dxa"/>
            <w:tcBorders>
              <w:top w:val="single" w:sz="4" w:space="0" w:color="auto"/>
              <w:left w:val="single" w:sz="4" w:space="0" w:color="auto"/>
              <w:bottom w:val="single" w:sz="4" w:space="0" w:color="auto"/>
              <w:right w:val="single" w:sz="4" w:space="0" w:color="auto"/>
            </w:tcBorders>
            <w:shd w:val="clear" w:color="000000" w:fill="F9A2A5"/>
            <w:noWrap/>
            <w:vAlign w:val="bottom"/>
            <w:hideMark/>
          </w:tcPr>
          <w:p w14:paraId="00FB7A9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0B69" w:rsidRPr="00516C1F" w14:paraId="610C8CA0"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542F75C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55</w:t>
            </w:r>
          </w:p>
        </w:tc>
        <w:tc>
          <w:tcPr>
            <w:tcW w:w="4557" w:type="dxa"/>
            <w:tcBorders>
              <w:top w:val="nil"/>
              <w:left w:val="nil"/>
              <w:bottom w:val="single" w:sz="4" w:space="0" w:color="auto"/>
              <w:right w:val="single" w:sz="4" w:space="0" w:color="auto"/>
            </w:tcBorders>
            <w:noWrap/>
            <w:vAlign w:val="bottom"/>
            <w:hideMark/>
          </w:tcPr>
          <w:p w14:paraId="3BC5DE88"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Icodos</w:t>
            </w:r>
            <w:proofErr w:type="spellEnd"/>
            <w:r w:rsidRPr="00516C1F">
              <w:rPr>
                <w:rFonts w:eastAsia="Times New Roman" w:cs="Calibri"/>
                <w:color w:val="000000"/>
                <w:kern w:val="0"/>
                <w:sz w:val="16"/>
                <w:szCs w:val="16"/>
                <w:lang w:val="en-GB"/>
                <w14:ligatures w14:val="none"/>
              </w:rPr>
              <w:t xml:space="preserve"> GmbH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0F6EAB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0B962F4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1BA0089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0.366</w:t>
            </w:r>
          </w:p>
        </w:tc>
        <w:tc>
          <w:tcPr>
            <w:tcW w:w="1133" w:type="dxa"/>
            <w:tcBorders>
              <w:top w:val="single" w:sz="4" w:space="0" w:color="auto"/>
              <w:left w:val="single" w:sz="4" w:space="0" w:color="auto"/>
              <w:bottom w:val="single" w:sz="4" w:space="0" w:color="auto"/>
              <w:right w:val="single" w:sz="4" w:space="0" w:color="auto"/>
            </w:tcBorders>
            <w:shd w:val="clear" w:color="000000" w:fill="FAB3B5"/>
            <w:noWrap/>
            <w:vAlign w:val="bottom"/>
            <w:hideMark/>
          </w:tcPr>
          <w:p w14:paraId="6575536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0B69" w:rsidRPr="00516C1F" w14:paraId="64A8A481"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397BAE8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56</w:t>
            </w:r>
          </w:p>
        </w:tc>
        <w:tc>
          <w:tcPr>
            <w:tcW w:w="4557" w:type="dxa"/>
            <w:tcBorders>
              <w:top w:val="nil"/>
              <w:left w:val="nil"/>
              <w:bottom w:val="single" w:sz="4" w:space="0" w:color="auto"/>
              <w:right w:val="single" w:sz="4" w:space="0" w:color="auto"/>
            </w:tcBorders>
            <w:noWrap/>
            <w:vAlign w:val="bottom"/>
            <w:hideMark/>
          </w:tcPr>
          <w:p w14:paraId="58E3CAD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WWF Romania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5EA34E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D0EAD9"/>
            <w:noWrap/>
            <w:vAlign w:val="bottom"/>
            <w:hideMark/>
          </w:tcPr>
          <w:p w14:paraId="74FBAF9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w:t>
            </w:r>
          </w:p>
        </w:tc>
        <w:tc>
          <w:tcPr>
            <w:tcW w:w="1134" w:type="dxa"/>
            <w:tcBorders>
              <w:top w:val="single" w:sz="4" w:space="0" w:color="auto"/>
              <w:left w:val="single" w:sz="4" w:space="0" w:color="auto"/>
              <w:bottom w:val="single" w:sz="4" w:space="0" w:color="auto"/>
              <w:right w:val="single" w:sz="4" w:space="0" w:color="auto"/>
            </w:tcBorders>
            <w:shd w:val="clear" w:color="000000" w:fill="E6F4EC"/>
            <w:noWrap/>
            <w:vAlign w:val="bottom"/>
            <w:hideMark/>
          </w:tcPr>
          <w:p w14:paraId="768B5C5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0.406</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62497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0B69" w:rsidRPr="00516C1F" w14:paraId="7490DF3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34BBE00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57</w:t>
            </w:r>
          </w:p>
        </w:tc>
        <w:tc>
          <w:tcPr>
            <w:tcW w:w="4557" w:type="dxa"/>
            <w:tcBorders>
              <w:top w:val="nil"/>
              <w:left w:val="nil"/>
              <w:bottom w:val="single" w:sz="4" w:space="0" w:color="auto"/>
              <w:right w:val="single" w:sz="4" w:space="0" w:color="auto"/>
            </w:tcBorders>
            <w:noWrap/>
            <w:vAlign w:val="bottom"/>
            <w:hideMark/>
          </w:tcPr>
          <w:p w14:paraId="268D327F"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National Meteorological Administration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1D70B7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01DF286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691DA0E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0.357</w:t>
            </w:r>
          </w:p>
        </w:tc>
        <w:tc>
          <w:tcPr>
            <w:tcW w:w="1133" w:type="dxa"/>
            <w:tcBorders>
              <w:top w:val="single" w:sz="4" w:space="0" w:color="auto"/>
              <w:left w:val="single" w:sz="4" w:space="0" w:color="auto"/>
              <w:bottom w:val="single" w:sz="4" w:space="0" w:color="auto"/>
              <w:right w:val="single" w:sz="4" w:space="0" w:color="auto"/>
            </w:tcBorders>
            <w:shd w:val="clear" w:color="000000" w:fill="F8797B"/>
            <w:noWrap/>
            <w:vAlign w:val="bottom"/>
            <w:hideMark/>
          </w:tcPr>
          <w:p w14:paraId="30B3961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1CFE900B"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74D0476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58</w:t>
            </w:r>
          </w:p>
        </w:tc>
        <w:tc>
          <w:tcPr>
            <w:tcW w:w="4557" w:type="dxa"/>
            <w:tcBorders>
              <w:top w:val="nil"/>
              <w:left w:val="nil"/>
              <w:bottom w:val="single" w:sz="4" w:space="0" w:color="auto"/>
              <w:right w:val="single" w:sz="4" w:space="0" w:color="auto"/>
            </w:tcBorders>
            <w:noWrap/>
            <w:vAlign w:val="bottom"/>
            <w:hideMark/>
          </w:tcPr>
          <w:p w14:paraId="75500F29"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Slovak University of Technology in Bratislava (Slovakia)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62828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D35EE1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5FAF9"/>
            <w:noWrap/>
            <w:vAlign w:val="bottom"/>
            <w:hideMark/>
          </w:tcPr>
          <w:p w14:paraId="08FB2CD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0.391</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6F4EB9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0B69" w:rsidRPr="00516C1F" w14:paraId="0F16A65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CE8B27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59</w:t>
            </w:r>
          </w:p>
        </w:tc>
        <w:tc>
          <w:tcPr>
            <w:tcW w:w="4557" w:type="dxa"/>
            <w:tcBorders>
              <w:top w:val="nil"/>
              <w:left w:val="nil"/>
              <w:bottom w:val="single" w:sz="4" w:space="0" w:color="auto"/>
              <w:right w:val="single" w:sz="4" w:space="0" w:color="auto"/>
            </w:tcBorders>
            <w:noWrap/>
            <w:vAlign w:val="bottom"/>
            <w:hideMark/>
          </w:tcPr>
          <w:p w14:paraId="3613491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VŠB - Technical University of Ostrava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CE894E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A56B0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AD6D9"/>
            <w:noWrap/>
            <w:vAlign w:val="bottom"/>
            <w:hideMark/>
          </w:tcPr>
          <w:p w14:paraId="6208218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0.292</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FBB33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5238C52D"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72F7FFF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60</w:t>
            </w:r>
          </w:p>
        </w:tc>
        <w:tc>
          <w:tcPr>
            <w:tcW w:w="4557" w:type="dxa"/>
            <w:tcBorders>
              <w:top w:val="nil"/>
              <w:left w:val="nil"/>
              <w:bottom w:val="single" w:sz="4" w:space="0" w:color="auto"/>
              <w:right w:val="single" w:sz="4" w:space="0" w:color="auto"/>
            </w:tcBorders>
            <w:noWrap/>
            <w:vAlign w:val="bottom"/>
            <w:hideMark/>
          </w:tcPr>
          <w:p w14:paraId="2F248971"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Brno University of Technology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7B989B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13E43CB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AEC"/>
            <w:noWrap/>
            <w:vAlign w:val="bottom"/>
            <w:hideMark/>
          </w:tcPr>
          <w:p w14:paraId="35FB1F0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0.339</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E195B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151AF7B2"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6F11E6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61</w:t>
            </w:r>
          </w:p>
        </w:tc>
        <w:tc>
          <w:tcPr>
            <w:tcW w:w="4557" w:type="dxa"/>
            <w:tcBorders>
              <w:top w:val="nil"/>
              <w:left w:val="nil"/>
              <w:bottom w:val="single" w:sz="4" w:space="0" w:color="auto"/>
              <w:right w:val="single" w:sz="4" w:space="0" w:color="auto"/>
            </w:tcBorders>
            <w:noWrap/>
            <w:vAlign w:val="bottom"/>
            <w:hideMark/>
          </w:tcPr>
          <w:p w14:paraId="4B27FABB"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University of Maribor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7CAC34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18B36C5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E2E5"/>
            <w:noWrap/>
            <w:vAlign w:val="bottom"/>
            <w:hideMark/>
          </w:tcPr>
          <w:p w14:paraId="365019C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0.322</w:t>
            </w:r>
          </w:p>
        </w:tc>
        <w:tc>
          <w:tcPr>
            <w:tcW w:w="1133" w:type="dxa"/>
            <w:tcBorders>
              <w:top w:val="single" w:sz="4" w:space="0" w:color="auto"/>
              <w:left w:val="single" w:sz="4" w:space="0" w:color="auto"/>
              <w:bottom w:val="single" w:sz="4" w:space="0" w:color="auto"/>
              <w:right w:val="single" w:sz="4" w:space="0" w:color="auto"/>
            </w:tcBorders>
            <w:shd w:val="clear" w:color="000000" w:fill="F87274"/>
            <w:noWrap/>
            <w:vAlign w:val="bottom"/>
            <w:hideMark/>
          </w:tcPr>
          <w:p w14:paraId="39F8B3E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720EAB35"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469D196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62</w:t>
            </w:r>
          </w:p>
        </w:tc>
        <w:tc>
          <w:tcPr>
            <w:tcW w:w="4557" w:type="dxa"/>
            <w:tcBorders>
              <w:top w:val="nil"/>
              <w:left w:val="nil"/>
              <w:bottom w:val="single" w:sz="4" w:space="0" w:color="auto"/>
              <w:right w:val="single" w:sz="4" w:space="0" w:color="auto"/>
            </w:tcBorders>
            <w:noWrap/>
            <w:vAlign w:val="bottom"/>
            <w:hideMark/>
          </w:tcPr>
          <w:p w14:paraId="13E4E8BA"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Bay Zoltán Nonprofit Ltd. for Applied Research (Hungary)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FC0ECA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3743AEA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AEC"/>
            <w:noWrap/>
            <w:vAlign w:val="bottom"/>
            <w:hideMark/>
          </w:tcPr>
          <w:p w14:paraId="3A8F999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0.339</w:t>
            </w:r>
          </w:p>
        </w:tc>
        <w:tc>
          <w:tcPr>
            <w:tcW w:w="1133" w:type="dxa"/>
            <w:tcBorders>
              <w:top w:val="single" w:sz="4" w:space="0" w:color="auto"/>
              <w:left w:val="single" w:sz="4" w:space="0" w:color="auto"/>
              <w:bottom w:val="single" w:sz="4" w:space="0" w:color="auto"/>
              <w:right w:val="single" w:sz="4" w:space="0" w:color="auto"/>
            </w:tcBorders>
            <w:shd w:val="clear" w:color="000000" w:fill="F87A7C"/>
            <w:noWrap/>
            <w:vAlign w:val="bottom"/>
            <w:hideMark/>
          </w:tcPr>
          <w:p w14:paraId="3204827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4F2391F8"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37CAFA2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63</w:t>
            </w:r>
          </w:p>
        </w:tc>
        <w:tc>
          <w:tcPr>
            <w:tcW w:w="4557" w:type="dxa"/>
            <w:tcBorders>
              <w:top w:val="nil"/>
              <w:left w:val="nil"/>
              <w:bottom w:val="single" w:sz="4" w:space="0" w:color="auto"/>
              <w:right w:val="single" w:sz="4" w:space="0" w:color="auto"/>
            </w:tcBorders>
            <w:noWrap/>
            <w:vAlign w:val="bottom"/>
            <w:hideMark/>
          </w:tcPr>
          <w:p w14:paraId="00EA90CB"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Technical University of </w:t>
            </w:r>
            <w:proofErr w:type="spellStart"/>
            <w:r w:rsidRPr="00516C1F">
              <w:rPr>
                <w:rFonts w:eastAsia="Times New Roman" w:cs="Calibri"/>
                <w:color w:val="000000"/>
                <w:kern w:val="0"/>
                <w:sz w:val="16"/>
                <w:szCs w:val="16"/>
                <w:lang w:val="en-GB"/>
                <w14:ligatures w14:val="none"/>
              </w:rPr>
              <w:t>Košice</w:t>
            </w:r>
            <w:proofErr w:type="spellEnd"/>
            <w:r w:rsidRPr="00516C1F">
              <w:rPr>
                <w:rFonts w:eastAsia="Times New Roman" w:cs="Calibri"/>
                <w:color w:val="000000"/>
                <w:kern w:val="0"/>
                <w:sz w:val="16"/>
                <w:szCs w:val="16"/>
                <w:lang w:val="en-GB"/>
                <w14:ligatures w14:val="none"/>
              </w:rPr>
              <w:t xml:space="preserve"> (Slovakia)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1C1763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35E0035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DBDE"/>
            <w:noWrap/>
            <w:vAlign w:val="bottom"/>
            <w:hideMark/>
          </w:tcPr>
          <w:p w14:paraId="6DED78E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0.303</w:t>
            </w:r>
          </w:p>
        </w:tc>
        <w:tc>
          <w:tcPr>
            <w:tcW w:w="1133" w:type="dxa"/>
            <w:tcBorders>
              <w:top w:val="single" w:sz="4" w:space="0" w:color="auto"/>
              <w:left w:val="single" w:sz="4" w:space="0" w:color="auto"/>
              <w:bottom w:val="single" w:sz="4" w:space="0" w:color="auto"/>
              <w:right w:val="single" w:sz="4" w:space="0" w:color="auto"/>
            </w:tcBorders>
            <w:shd w:val="clear" w:color="000000" w:fill="FBE9EC"/>
            <w:noWrap/>
            <w:vAlign w:val="bottom"/>
            <w:hideMark/>
          </w:tcPr>
          <w:p w14:paraId="4A44DEC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0.004</w:t>
            </w:r>
          </w:p>
        </w:tc>
      </w:tr>
      <w:tr w:rsidR="00A90B69" w:rsidRPr="00516C1F" w14:paraId="1159EAC2"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22A3C5D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lastRenderedPageBreak/>
              <w:t>64</w:t>
            </w:r>
          </w:p>
        </w:tc>
        <w:tc>
          <w:tcPr>
            <w:tcW w:w="4557" w:type="dxa"/>
            <w:tcBorders>
              <w:top w:val="nil"/>
              <w:left w:val="nil"/>
              <w:bottom w:val="single" w:sz="4" w:space="0" w:color="auto"/>
              <w:right w:val="single" w:sz="4" w:space="0" w:color="auto"/>
            </w:tcBorders>
            <w:noWrap/>
            <w:vAlign w:val="bottom"/>
            <w:hideMark/>
          </w:tcPr>
          <w:p w14:paraId="7FE98E69"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 xml:space="preserve">German Institutes for Textile and Fiber Research </w:t>
            </w:r>
            <w:proofErr w:type="spellStart"/>
            <w:r w:rsidRPr="00516C1F">
              <w:rPr>
                <w:rFonts w:eastAsia="Times New Roman" w:cs="Calibri"/>
                <w:color w:val="000000"/>
                <w:kern w:val="0"/>
                <w:sz w:val="16"/>
                <w:szCs w:val="16"/>
                <w:lang w:val="en-GB"/>
                <w14:ligatures w14:val="none"/>
              </w:rPr>
              <w:t>Denkendorf</w:t>
            </w:r>
            <w:proofErr w:type="spellEnd"/>
            <w:r w:rsidRPr="00516C1F">
              <w:rPr>
                <w:rFonts w:eastAsia="Times New Roman" w:cs="Calibri"/>
                <w:color w:val="000000"/>
                <w:kern w:val="0"/>
                <w:sz w:val="16"/>
                <w:szCs w:val="16"/>
                <w:lang w:val="en-GB"/>
                <w14:ligatures w14:val="none"/>
              </w:rPr>
              <w:t xml:space="preserve">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E09530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6C2D0D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AD4D7"/>
            <w:noWrap/>
            <w:vAlign w:val="bottom"/>
            <w:hideMark/>
          </w:tcPr>
          <w:p w14:paraId="7AD2A2C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0.287</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BB312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549B4E25"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418FC78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65</w:t>
            </w:r>
          </w:p>
        </w:tc>
        <w:tc>
          <w:tcPr>
            <w:tcW w:w="4557" w:type="dxa"/>
            <w:tcBorders>
              <w:top w:val="nil"/>
              <w:left w:val="nil"/>
              <w:bottom w:val="single" w:sz="4" w:space="0" w:color="auto"/>
              <w:right w:val="single" w:sz="4" w:space="0" w:color="auto"/>
            </w:tcBorders>
            <w:noWrap/>
            <w:vAlign w:val="bottom"/>
            <w:hideMark/>
          </w:tcPr>
          <w:p w14:paraId="43E56E17"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Masaryk University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BD341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C84E22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E0F1E7"/>
            <w:noWrap/>
            <w:vAlign w:val="bottom"/>
            <w:hideMark/>
          </w:tcPr>
          <w:p w14:paraId="30E4ACB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0.413</w:t>
            </w:r>
          </w:p>
        </w:tc>
        <w:tc>
          <w:tcPr>
            <w:tcW w:w="1133" w:type="dxa"/>
            <w:tcBorders>
              <w:top w:val="single" w:sz="4" w:space="0" w:color="auto"/>
              <w:left w:val="single" w:sz="4" w:space="0" w:color="auto"/>
              <w:bottom w:val="single" w:sz="4" w:space="0" w:color="auto"/>
              <w:right w:val="single" w:sz="4" w:space="0" w:color="auto"/>
            </w:tcBorders>
            <w:shd w:val="clear" w:color="000000" w:fill="F9ACAE"/>
            <w:noWrap/>
            <w:vAlign w:val="bottom"/>
            <w:hideMark/>
          </w:tcPr>
          <w:p w14:paraId="4FC1B07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0.002</w:t>
            </w:r>
          </w:p>
        </w:tc>
      </w:tr>
      <w:tr w:rsidR="00A90B69" w:rsidRPr="00516C1F" w14:paraId="11AF02AD"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511D2E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66</w:t>
            </w:r>
          </w:p>
        </w:tc>
        <w:tc>
          <w:tcPr>
            <w:tcW w:w="4557" w:type="dxa"/>
            <w:tcBorders>
              <w:top w:val="nil"/>
              <w:left w:val="nil"/>
              <w:bottom w:val="single" w:sz="4" w:space="0" w:color="auto"/>
              <w:right w:val="single" w:sz="4" w:space="0" w:color="auto"/>
            </w:tcBorders>
            <w:noWrap/>
            <w:vAlign w:val="bottom"/>
            <w:hideMark/>
          </w:tcPr>
          <w:p w14:paraId="77D40216"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Agricultural Institute of Slovenia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610BF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7514D3E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E8EB"/>
            <w:noWrap/>
            <w:vAlign w:val="bottom"/>
            <w:hideMark/>
          </w:tcPr>
          <w:p w14:paraId="3B112DB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0.335</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D138A5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6639FDED"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02065CE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67</w:t>
            </w:r>
          </w:p>
        </w:tc>
        <w:tc>
          <w:tcPr>
            <w:tcW w:w="4557" w:type="dxa"/>
            <w:tcBorders>
              <w:top w:val="nil"/>
              <w:left w:val="nil"/>
              <w:bottom w:val="single" w:sz="4" w:space="0" w:color="auto"/>
              <w:right w:val="single" w:sz="4" w:space="0" w:color="auto"/>
            </w:tcBorders>
            <w:noWrap/>
            <w:vAlign w:val="bottom"/>
            <w:hideMark/>
          </w:tcPr>
          <w:p w14:paraId="4925AF6D"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BEST - Bioenergy and Sustainable Technologies GmbH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5C7CF5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D69951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68A844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0.383</w:t>
            </w:r>
          </w:p>
        </w:tc>
        <w:tc>
          <w:tcPr>
            <w:tcW w:w="1133"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3B02671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0.010</w:t>
            </w:r>
          </w:p>
        </w:tc>
      </w:tr>
      <w:tr w:rsidR="00A90B69" w:rsidRPr="00516C1F" w14:paraId="35A746D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59CF50C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68</w:t>
            </w:r>
          </w:p>
        </w:tc>
        <w:tc>
          <w:tcPr>
            <w:tcW w:w="4557" w:type="dxa"/>
            <w:tcBorders>
              <w:top w:val="nil"/>
              <w:left w:val="nil"/>
              <w:bottom w:val="single" w:sz="4" w:space="0" w:color="auto"/>
              <w:right w:val="single" w:sz="4" w:space="0" w:color="auto"/>
            </w:tcBorders>
            <w:noWrap/>
            <w:vAlign w:val="bottom"/>
            <w:hideMark/>
          </w:tcPr>
          <w:p w14:paraId="0159C5E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BIOEAST HUB CR, z. ú.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0A9EF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E8228D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66099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0.024</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F8AA9F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4EB06CB1"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D55855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69</w:t>
            </w:r>
          </w:p>
        </w:tc>
        <w:tc>
          <w:tcPr>
            <w:tcW w:w="4557" w:type="dxa"/>
            <w:tcBorders>
              <w:top w:val="nil"/>
              <w:left w:val="nil"/>
              <w:bottom w:val="single" w:sz="4" w:space="0" w:color="auto"/>
              <w:right w:val="single" w:sz="4" w:space="0" w:color="auto"/>
            </w:tcBorders>
            <w:noWrap/>
            <w:vAlign w:val="bottom"/>
            <w:hideMark/>
          </w:tcPr>
          <w:p w14:paraId="04E92F47"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Novis GmbH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0C7742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EC019A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AD4D7"/>
            <w:noWrap/>
            <w:vAlign w:val="bottom"/>
            <w:hideMark/>
          </w:tcPr>
          <w:p w14:paraId="2AA5879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0.287</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509D5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7A505F11"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1469F9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70</w:t>
            </w:r>
          </w:p>
        </w:tc>
        <w:tc>
          <w:tcPr>
            <w:tcW w:w="4557" w:type="dxa"/>
            <w:tcBorders>
              <w:top w:val="nil"/>
              <w:left w:val="nil"/>
              <w:bottom w:val="single" w:sz="4" w:space="0" w:color="auto"/>
              <w:right w:val="single" w:sz="4" w:space="0" w:color="auto"/>
            </w:tcBorders>
            <w:noWrap/>
            <w:vAlign w:val="bottom"/>
            <w:hideMark/>
          </w:tcPr>
          <w:p w14:paraId="6D651CC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Medical University of Graz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B0EC01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5FECD1B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1B35D6E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0.376</w:t>
            </w:r>
          </w:p>
        </w:tc>
        <w:tc>
          <w:tcPr>
            <w:tcW w:w="1133"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7B8361E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0.007</w:t>
            </w:r>
          </w:p>
        </w:tc>
      </w:tr>
      <w:tr w:rsidR="00A90B69" w:rsidRPr="00516C1F" w14:paraId="36C967C1"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785C023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71</w:t>
            </w:r>
          </w:p>
        </w:tc>
        <w:tc>
          <w:tcPr>
            <w:tcW w:w="4557" w:type="dxa"/>
            <w:tcBorders>
              <w:top w:val="nil"/>
              <w:left w:val="nil"/>
              <w:bottom w:val="single" w:sz="4" w:space="0" w:color="auto"/>
              <w:right w:val="single" w:sz="4" w:space="0" w:color="auto"/>
            </w:tcBorders>
            <w:noWrap/>
            <w:vAlign w:val="bottom"/>
            <w:hideMark/>
          </w:tcPr>
          <w:p w14:paraId="7CCCE4BE"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Dunărea</w:t>
            </w:r>
            <w:proofErr w:type="spellEnd"/>
            <w:r w:rsidRPr="00516C1F">
              <w:rPr>
                <w:rFonts w:eastAsia="Times New Roman" w:cs="Calibri"/>
                <w:color w:val="000000"/>
                <w:kern w:val="0"/>
                <w:sz w:val="16"/>
                <w:szCs w:val="16"/>
                <w:lang w:val="en-GB"/>
                <w14:ligatures w14:val="none"/>
              </w:rPr>
              <w:t xml:space="preserve"> de Jos University of </w:t>
            </w:r>
            <w:proofErr w:type="spellStart"/>
            <w:r w:rsidRPr="00516C1F">
              <w:rPr>
                <w:rFonts w:eastAsia="Times New Roman" w:cs="Calibri"/>
                <w:color w:val="000000"/>
                <w:kern w:val="0"/>
                <w:sz w:val="16"/>
                <w:szCs w:val="16"/>
                <w:lang w:val="en-GB"/>
                <w14:ligatures w14:val="none"/>
              </w:rPr>
              <w:t>Galați</w:t>
            </w:r>
            <w:proofErr w:type="spellEnd"/>
            <w:r w:rsidRPr="00516C1F">
              <w:rPr>
                <w:rFonts w:eastAsia="Times New Roman" w:cs="Calibri"/>
                <w:color w:val="000000"/>
                <w:kern w:val="0"/>
                <w:sz w:val="16"/>
                <w:szCs w:val="16"/>
                <w:lang w:val="en-GB"/>
                <w14:ligatures w14:val="none"/>
              </w:rPr>
              <w:t xml:space="preserve">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B70503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0F7F5"/>
            <w:noWrap/>
            <w:vAlign w:val="bottom"/>
            <w:hideMark/>
          </w:tcPr>
          <w:p w14:paraId="7EC276A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w:t>
            </w:r>
          </w:p>
        </w:tc>
        <w:tc>
          <w:tcPr>
            <w:tcW w:w="1134"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054E6CE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0.366</w:t>
            </w:r>
          </w:p>
        </w:tc>
        <w:tc>
          <w:tcPr>
            <w:tcW w:w="1133"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14:paraId="2CB4FFE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0.010</w:t>
            </w:r>
          </w:p>
        </w:tc>
      </w:tr>
      <w:tr w:rsidR="00A90B69" w:rsidRPr="00516C1F" w14:paraId="307D840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79E2B1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72</w:t>
            </w:r>
          </w:p>
        </w:tc>
        <w:tc>
          <w:tcPr>
            <w:tcW w:w="4557" w:type="dxa"/>
            <w:tcBorders>
              <w:top w:val="nil"/>
              <w:left w:val="nil"/>
              <w:bottom w:val="single" w:sz="4" w:space="0" w:color="auto"/>
              <w:right w:val="single" w:sz="4" w:space="0" w:color="auto"/>
            </w:tcBorders>
            <w:noWrap/>
            <w:vAlign w:val="bottom"/>
            <w:hideMark/>
          </w:tcPr>
          <w:p w14:paraId="39E89C67"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BEIA Consult International SRL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C4DCF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3A5E608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E3E6"/>
            <w:noWrap/>
            <w:vAlign w:val="bottom"/>
            <w:hideMark/>
          </w:tcPr>
          <w:p w14:paraId="51AAD31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0.324</w:t>
            </w:r>
          </w:p>
        </w:tc>
        <w:tc>
          <w:tcPr>
            <w:tcW w:w="1133" w:type="dxa"/>
            <w:tcBorders>
              <w:top w:val="single" w:sz="4" w:space="0" w:color="auto"/>
              <w:left w:val="single" w:sz="4" w:space="0" w:color="auto"/>
              <w:bottom w:val="single" w:sz="4" w:space="0" w:color="auto"/>
              <w:right w:val="single" w:sz="4" w:space="0" w:color="auto"/>
            </w:tcBorders>
            <w:shd w:val="clear" w:color="000000" w:fill="F99395"/>
            <w:noWrap/>
            <w:vAlign w:val="bottom"/>
            <w:hideMark/>
          </w:tcPr>
          <w:p w14:paraId="2172143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5B908AFC"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5A3ECD6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73</w:t>
            </w:r>
          </w:p>
        </w:tc>
        <w:tc>
          <w:tcPr>
            <w:tcW w:w="4557" w:type="dxa"/>
            <w:tcBorders>
              <w:top w:val="nil"/>
              <w:left w:val="nil"/>
              <w:bottom w:val="single" w:sz="4" w:space="0" w:color="auto"/>
              <w:right w:val="single" w:sz="4" w:space="0" w:color="auto"/>
            </w:tcBorders>
            <w:noWrap/>
            <w:vAlign w:val="bottom"/>
            <w:hideMark/>
          </w:tcPr>
          <w:p w14:paraId="365B69A6"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Babeș-Bolyai University (Romania)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F0CEB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037DC7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BDADD"/>
            <w:noWrap/>
            <w:vAlign w:val="bottom"/>
            <w:hideMark/>
          </w:tcPr>
          <w:p w14:paraId="4A107BF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0.302</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56FC2C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7F07BED8"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5330CA0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74</w:t>
            </w:r>
          </w:p>
        </w:tc>
        <w:tc>
          <w:tcPr>
            <w:tcW w:w="4557" w:type="dxa"/>
            <w:tcBorders>
              <w:top w:val="nil"/>
              <w:left w:val="nil"/>
              <w:bottom w:val="single" w:sz="4" w:space="0" w:color="auto"/>
              <w:right w:val="single" w:sz="4" w:space="0" w:color="auto"/>
            </w:tcBorders>
            <w:noWrap/>
            <w:vAlign w:val="bottom"/>
            <w:hideMark/>
          </w:tcPr>
          <w:p w14:paraId="11C33847"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MTU Aero Engines AG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952A51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AB2B5"/>
            <w:noWrap/>
            <w:vAlign w:val="bottom"/>
            <w:hideMark/>
          </w:tcPr>
          <w:p w14:paraId="4293CD5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E6E8"/>
            <w:noWrap/>
            <w:vAlign w:val="bottom"/>
            <w:hideMark/>
          </w:tcPr>
          <w:p w14:paraId="3B38D9E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0.330</w:t>
            </w:r>
          </w:p>
        </w:tc>
        <w:tc>
          <w:tcPr>
            <w:tcW w:w="1133" w:type="dxa"/>
            <w:tcBorders>
              <w:top w:val="single" w:sz="4" w:space="0" w:color="auto"/>
              <w:left w:val="single" w:sz="4" w:space="0" w:color="auto"/>
              <w:bottom w:val="single" w:sz="4" w:space="0" w:color="auto"/>
              <w:right w:val="single" w:sz="4" w:space="0" w:color="auto"/>
            </w:tcBorders>
            <w:shd w:val="clear" w:color="000000" w:fill="F87C7F"/>
            <w:noWrap/>
            <w:vAlign w:val="bottom"/>
            <w:hideMark/>
          </w:tcPr>
          <w:p w14:paraId="0F0CF46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5C6C5448"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6731589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75</w:t>
            </w:r>
          </w:p>
        </w:tc>
        <w:tc>
          <w:tcPr>
            <w:tcW w:w="4557" w:type="dxa"/>
            <w:tcBorders>
              <w:top w:val="nil"/>
              <w:left w:val="nil"/>
              <w:bottom w:val="single" w:sz="4" w:space="0" w:color="auto"/>
              <w:right w:val="single" w:sz="4" w:space="0" w:color="auto"/>
            </w:tcBorders>
            <w:noWrap/>
            <w:vAlign w:val="bottom"/>
            <w:hideMark/>
          </w:tcPr>
          <w:p w14:paraId="6B212120"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Heidelberg University Hospital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100BB4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1CF63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AD3D5"/>
            <w:noWrap/>
            <w:vAlign w:val="bottom"/>
            <w:hideMark/>
          </w:tcPr>
          <w:p w14:paraId="261FA0E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0.283</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66DC6B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3BF5160E"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42EA422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76</w:t>
            </w:r>
          </w:p>
        </w:tc>
        <w:tc>
          <w:tcPr>
            <w:tcW w:w="4557" w:type="dxa"/>
            <w:tcBorders>
              <w:top w:val="nil"/>
              <w:left w:val="nil"/>
              <w:bottom w:val="single" w:sz="4" w:space="0" w:color="auto"/>
              <w:right w:val="single" w:sz="4" w:space="0" w:color="auto"/>
            </w:tcBorders>
            <w:noWrap/>
            <w:vAlign w:val="bottom"/>
            <w:hideMark/>
          </w:tcPr>
          <w:p w14:paraId="2FF8662D"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RTDS Association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77492E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7E35925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EEF7F3"/>
            <w:noWrap/>
            <w:vAlign w:val="bottom"/>
            <w:hideMark/>
          </w:tcPr>
          <w:p w14:paraId="683C2AA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0.398</w:t>
            </w:r>
          </w:p>
        </w:tc>
        <w:tc>
          <w:tcPr>
            <w:tcW w:w="1133" w:type="dxa"/>
            <w:tcBorders>
              <w:top w:val="single" w:sz="4" w:space="0" w:color="auto"/>
              <w:left w:val="single" w:sz="4" w:space="0" w:color="auto"/>
              <w:bottom w:val="single" w:sz="4" w:space="0" w:color="auto"/>
              <w:right w:val="single" w:sz="4" w:space="0" w:color="auto"/>
            </w:tcBorders>
            <w:shd w:val="clear" w:color="000000" w:fill="F87B7E"/>
            <w:noWrap/>
            <w:vAlign w:val="bottom"/>
            <w:hideMark/>
          </w:tcPr>
          <w:p w14:paraId="673D766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443A85C0" w14:textId="77777777" w:rsidTr="00AD17F7">
        <w:trPr>
          <w:trHeight w:val="288"/>
        </w:trPr>
        <w:tc>
          <w:tcPr>
            <w:tcW w:w="400" w:type="dxa"/>
            <w:tcBorders>
              <w:top w:val="nil"/>
              <w:left w:val="single" w:sz="4" w:space="0" w:color="auto"/>
              <w:bottom w:val="single" w:sz="4" w:space="0" w:color="auto"/>
              <w:right w:val="single" w:sz="4" w:space="0" w:color="auto"/>
            </w:tcBorders>
            <w:noWrap/>
            <w:vAlign w:val="bottom"/>
            <w:hideMark/>
          </w:tcPr>
          <w:p w14:paraId="445BE47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77</w:t>
            </w:r>
          </w:p>
        </w:tc>
        <w:tc>
          <w:tcPr>
            <w:tcW w:w="4557" w:type="dxa"/>
            <w:tcBorders>
              <w:top w:val="nil"/>
              <w:left w:val="nil"/>
              <w:bottom w:val="single" w:sz="4" w:space="0" w:color="auto"/>
              <w:right w:val="single" w:sz="4" w:space="0" w:color="auto"/>
            </w:tcBorders>
            <w:noWrap/>
            <w:vAlign w:val="bottom"/>
            <w:hideMark/>
          </w:tcPr>
          <w:p w14:paraId="14595B3E"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Federal Ministry for Climate Action, Environment, Energy, Mobility, Innovation, and Technology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30E061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D0EAD9"/>
            <w:noWrap/>
            <w:vAlign w:val="bottom"/>
            <w:hideMark/>
          </w:tcPr>
          <w:p w14:paraId="0C0D169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12</w:t>
            </w:r>
          </w:p>
        </w:tc>
        <w:tc>
          <w:tcPr>
            <w:tcW w:w="1134" w:type="dxa"/>
            <w:tcBorders>
              <w:top w:val="single" w:sz="4" w:space="0" w:color="auto"/>
              <w:left w:val="single" w:sz="4" w:space="0" w:color="auto"/>
              <w:bottom w:val="single" w:sz="4" w:space="0" w:color="auto"/>
              <w:right w:val="single" w:sz="4" w:space="0" w:color="auto"/>
            </w:tcBorders>
            <w:shd w:val="clear" w:color="000000" w:fill="E4F3EB"/>
            <w:noWrap/>
            <w:vAlign w:val="bottom"/>
            <w:hideMark/>
          </w:tcPr>
          <w:p w14:paraId="6D27B3E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0.409</w:t>
            </w:r>
          </w:p>
        </w:tc>
        <w:tc>
          <w:tcPr>
            <w:tcW w:w="11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2EA9F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0.005</w:t>
            </w:r>
          </w:p>
        </w:tc>
      </w:tr>
      <w:tr w:rsidR="00A90B69" w:rsidRPr="00516C1F" w14:paraId="05097B2A"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1429F29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78</w:t>
            </w:r>
          </w:p>
        </w:tc>
        <w:tc>
          <w:tcPr>
            <w:tcW w:w="4557" w:type="dxa"/>
            <w:tcBorders>
              <w:top w:val="nil"/>
              <w:left w:val="nil"/>
              <w:bottom w:val="single" w:sz="4" w:space="0" w:color="auto"/>
              <w:right w:val="single" w:sz="4" w:space="0" w:color="auto"/>
            </w:tcBorders>
            <w:noWrap/>
            <w:vAlign w:val="bottom"/>
            <w:hideMark/>
          </w:tcPr>
          <w:p w14:paraId="284D3F0A"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SAP SE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78197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8765C0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BEEF1"/>
            <w:noWrap/>
            <w:vAlign w:val="bottom"/>
            <w:hideMark/>
          </w:tcPr>
          <w:p w14:paraId="2FB531F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0.351</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549A34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24CF34E1"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57C6BFB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79</w:t>
            </w:r>
          </w:p>
        </w:tc>
        <w:tc>
          <w:tcPr>
            <w:tcW w:w="4557" w:type="dxa"/>
            <w:tcBorders>
              <w:top w:val="nil"/>
              <w:left w:val="nil"/>
              <w:bottom w:val="single" w:sz="4" w:space="0" w:color="auto"/>
              <w:right w:val="single" w:sz="4" w:space="0" w:color="auto"/>
            </w:tcBorders>
            <w:noWrap/>
            <w:vAlign w:val="bottom"/>
            <w:hideMark/>
          </w:tcPr>
          <w:p w14:paraId="7EB5B7ED"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Framatome GmbH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C5E073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5E48B102"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25BB919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0.376</w:t>
            </w:r>
          </w:p>
        </w:tc>
        <w:tc>
          <w:tcPr>
            <w:tcW w:w="1133" w:type="dxa"/>
            <w:tcBorders>
              <w:top w:val="single" w:sz="4" w:space="0" w:color="auto"/>
              <w:left w:val="single" w:sz="4" w:space="0" w:color="auto"/>
              <w:bottom w:val="single" w:sz="4" w:space="0" w:color="auto"/>
              <w:right w:val="single" w:sz="4" w:space="0" w:color="auto"/>
            </w:tcBorders>
            <w:shd w:val="clear" w:color="000000" w:fill="F88689"/>
            <w:noWrap/>
            <w:vAlign w:val="bottom"/>
            <w:hideMark/>
          </w:tcPr>
          <w:p w14:paraId="27CDFF7D"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0.001</w:t>
            </w:r>
          </w:p>
        </w:tc>
      </w:tr>
      <w:tr w:rsidR="00A90B69" w:rsidRPr="00516C1F" w14:paraId="7F8A251D"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3C2C66B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80</w:t>
            </w:r>
          </w:p>
        </w:tc>
        <w:tc>
          <w:tcPr>
            <w:tcW w:w="4557" w:type="dxa"/>
            <w:tcBorders>
              <w:top w:val="nil"/>
              <w:left w:val="nil"/>
              <w:bottom w:val="single" w:sz="4" w:space="0" w:color="auto"/>
              <w:right w:val="single" w:sz="4" w:space="0" w:color="auto"/>
            </w:tcBorders>
            <w:noWrap/>
            <w:vAlign w:val="bottom"/>
            <w:hideMark/>
          </w:tcPr>
          <w:p w14:paraId="0E6E5A0C"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Ingolstadt University of Technology (Germany)</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A813BB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DD1F5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ACCCF"/>
            <w:noWrap/>
            <w:vAlign w:val="bottom"/>
            <w:hideMark/>
          </w:tcPr>
          <w:p w14:paraId="6008457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0.267</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85DBF8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5C34D45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71BEBFC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81</w:t>
            </w:r>
          </w:p>
        </w:tc>
        <w:tc>
          <w:tcPr>
            <w:tcW w:w="4557" w:type="dxa"/>
            <w:tcBorders>
              <w:top w:val="nil"/>
              <w:left w:val="nil"/>
              <w:bottom w:val="single" w:sz="4" w:space="0" w:color="auto"/>
              <w:right w:val="single" w:sz="4" w:space="0" w:color="auto"/>
            </w:tcBorders>
            <w:noWrap/>
            <w:vAlign w:val="bottom"/>
            <w:hideMark/>
          </w:tcPr>
          <w:p w14:paraId="3DCFDAAF"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PROFACTOR GmbH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A0537A0"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98D90"/>
            <w:noWrap/>
            <w:vAlign w:val="bottom"/>
            <w:hideMark/>
          </w:tcPr>
          <w:p w14:paraId="6533DCF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2</w:t>
            </w:r>
          </w:p>
        </w:tc>
        <w:tc>
          <w:tcPr>
            <w:tcW w:w="1134" w:type="dxa"/>
            <w:tcBorders>
              <w:top w:val="single" w:sz="4" w:space="0" w:color="auto"/>
              <w:left w:val="single" w:sz="4" w:space="0" w:color="auto"/>
              <w:bottom w:val="single" w:sz="4" w:space="0" w:color="auto"/>
              <w:right w:val="single" w:sz="4" w:space="0" w:color="auto"/>
            </w:tcBorders>
            <w:shd w:val="clear" w:color="000000" w:fill="FBD8DA"/>
            <w:noWrap/>
            <w:vAlign w:val="bottom"/>
            <w:hideMark/>
          </w:tcPr>
          <w:p w14:paraId="11B1333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0.295</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606C15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292295AB"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71C2F95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82</w:t>
            </w:r>
          </w:p>
        </w:tc>
        <w:tc>
          <w:tcPr>
            <w:tcW w:w="4557" w:type="dxa"/>
            <w:tcBorders>
              <w:top w:val="nil"/>
              <w:left w:val="nil"/>
              <w:bottom w:val="single" w:sz="4" w:space="0" w:color="auto"/>
              <w:right w:val="single" w:sz="4" w:space="0" w:color="auto"/>
            </w:tcBorders>
            <w:noWrap/>
            <w:vAlign w:val="bottom"/>
            <w:hideMark/>
          </w:tcPr>
          <w:p w14:paraId="5FE4D32D"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proofErr w:type="spellStart"/>
            <w:r w:rsidRPr="00516C1F">
              <w:rPr>
                <w:rFonts w:eastAsia="Times New Roman" w:cs="Calibri"/>
                <w:color w:val="000000"/>
                <w:kern w:val="0"/>
                <w:sz w:val="16"/>
                <w:szCs w:val="16"/>
                <w:lang w:val="en-GB"/>
                <w14:ligatures w14:val="none"/>
              </w:rPr>
              <w:t>Palacký</w:t>
            </w:r>
            <w:proofErr w:type="spellEnd"/>
            <w:r w:rsidRPr="00516C1F">
              <w:rPr>
                <w:rFonts w:eastAsia="Times New Roman" w:cs="Calibri"/>
                <w:color w:val="000000"/>
                <w:kern w:val="0"/>
                <w:sz w:val="16"/>
                <w:szCs w:val="16"/>
                <w:lang w:val="en-GB"/>
                <w14:ligatures w14:val="none"/>
              </w:rPr>
              <w:t xml:space="preserve"> University Olomouc (Czech Republic)</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8864B5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304912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BEAED"/>
            <w:noWrap/>
            <w:vAlign w:val="bottom"/>
            <w:hideMark/>
          </w:tcPr>
          <w:p w14:paraId="61419BD9"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0.341</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04B86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0501DA15"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2ED4839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83</w:t>
            </w:r>
          </w:p>
        </w:tc>
        <w:tc>
          <w:tcPr>
            <w:tcW w:w="4557" w:type="dxa"/>
            <w:tcBorders>
              <w:top w:val="nil"/>
              <w:left w:val="nil"/>
              <w:bottom w:val="single" w:sz="4" w:space="0" w:color="auto"/>
              <w:right w:val="single" w:sz="4" w:space="0" w:color="auto"/>
            </w:tcBorders>
            <w:noWrap/>
            <w:vAlign w:val="bottom"/>
            <w:hideMark/>
          </w:tcPr>
          <w:p w14:paraId="29C8C964"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IOS Institute for Environmental Protection and Sensors (Slovenia)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6E2C823"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524B325"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BE7EA"/>
            <w:noWrap/>
            <w:vAlign w:val="bottom"/>
            <w:hideMark/>
          </w:tcPr>
          <w:p w14:paraId="3BF9506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0.334</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68E87EF"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58E5D2FA"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33180D94"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84</w:t>
            </w:r>
          </w:p>
        </w:tc>
        <w:tc>
          <w:tcPr>
            <w:tcW w:w="4557" w:type="dxa"/>
            <w:tcBorders>
              <w:top w:val="nil"/>
              <w:left w:val="nil"/>
              <w:bottom w:val="single" w:sz="4" w:space="0" w:color="auto"/>
              <w:right w:val="single" w:sz="4" w:space="0" w:color="auto"/>
            </w:tcBorders>
            <w:noWrap/>
            <w:vAlign w:val="bottom"/>
            <w:hideMark/>
          </w:tcPr>
          <w:p w14:paraId="3CCDB837" w14:textId="77777777" w:rsidR="00A90B69" w:rsidRPr="00516C1F" w:rsidRDefault="00A90B69" w:rsidP="00A90B69">
            <w:pPr>
              <w:spacing w:after="0" w:line="240" w:lineRule="auto"/>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Institute of Science and Technology Austria (Austria)</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20DA77"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69E1D1"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000000" w:fill="FAD6D9"/>
            <w:noWrap/>
            <w:vAlign w:val="bottom"/>
            <w:hideMark/>
          </w:tcPr>
          <w:p w14:paraId="5708FFE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0.292</w:t>
            </w:r>
          </w:p>
        </w:tc>
        <w:tc>
          <w:tcPr>
            <w:tcW w:w="11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4EB0EB"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0.000</w:t>
            </w:r>
          </w:p>
        </w:tc>
      </w:tr>
      <w:tr w:rsidR="00A90B69" w:rsidRPr="00516C1F" w14:paraId="77662B47" w14:textId="77777777" w:rsidTr="001128B2">
        <w:trPr>
          <w:trHeight w:val="170"/>
        </w:trPr>
        <w:tc>
          <w:tcPr>
            <w:tcW w:w="400" w:type="dxa"/>
            <w:tcBorders>
              <w:top w:val="nil"/>
              <w:left w:val="single" w:sz="4" w:space="0" w:color="auto"/>
              <w:bottom w:val="single" w:sz="4" w:space="0" w:color="auto"/>
              <w:right w:val="single" w:sz="4" w:space="0" w:color="auto"/>
            </w:tcBorders>
            <w:noWrap/>
            <w:vAlign w:val="bottom"/>
            <w:hideMark/>
          </w:tcPr>
          <w:p w14:paraId="03DBB616"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85</w:t>
            </w:r>
          </w:p>
        </w:tc>
        <w:tc>
          <w:tcPr>
            <w:tcW w:w="4557" w:type="dxa"/>
            <w:tcBorders>
              <w:top w:val="nil"/>
              <w:left w:val="nil"/>
              <w:bottom w:val="single" w:sz="4" w:space="0" w:color="auto"/>
              <w:right w:val="single" w:sz="4" w:space="0" w:color="auto"/>
            </w:tcBorders>
            <w:noWrap/>
            <w:vAlign w:val="bottom"/>
            <w:hideMark/>
          </w:tcPr>
          <w:p w14:paraId="1EE527BC" w14:textId="77777777" w:rsidR="00A90B69" w:rsidRPr="008D3852" w:rsidRDefault="00A90B69" w:rsidP="00A90B69">
            <w:pPr>
              <w:spacing w:after="0" w:line="240" w:lineRule="auto"/>
              <w:rPr>
                <w:rFonts w:eastAsia="Times New Roman" w:cs="Calibri"/>
                <w:color w:val="000000"/>
                <w:kern w:val="0"/>
                <w:sz w:val="16"/>
                <w:szCs w:val="16"/>
                <w:lang w:val="fr-FR"/>
                <w14:ligatures w14:val="none"/>
              </w:rPr>
            </w:pPr>
            <w:proofErr w:type="spellStart"/>
            <w:r w:rsidRPr="008D3852">
              <w:rPr>
                <w:rFonts w:eastAsia="Times New Roman" w:cs="Calibri"/>
                <w:color w:val="000000"/>
                <w:kern w:val="0"/>
                <w:sz w:val="16"/>
                <w:szCs w:val="16"/>
                <w:lang w:val="fr-FR"/>
                <w14:ligatures w14:val="none"/>
              </w:rPr>
              <w:t>Infineon</w:t>
            </w:r>
            <w:proofErr w:type="spellEnd"/>
            <w:r w:rsidRPr="008D3852">
              <w:rPr>
                <w:rFonts w:eastAsia="Times New Roman" w:cs="Calibri"/>
                <w:color w:val="000000"/>
                <w:kern w:val="0"/>
                <w:sz w:val="16"/>
                <w:szCs w:val="16"/>
                <w:lang w:val="fr-FR"/>
                <w14:ligatures w14:val="none"/>
              </w:rPr>
              <w:t xml:space="preserve"> Technologies </w:t>
            </w:r>
            <w:proofErr w:type="spellStart"/>
            <w:r w:rsidRPr="008D3852">
              <w:rPr>
                <w:rFonts w:eastAsia="Times New Roman" w:cs="Calibri"/>
                <w:color w:val="000000"/>
                <w:kern w:val="0"/>
                <w:sz w:val="16"/>
                <w:szCs w:val="16"/>
                <w:lang w:val="fr-FR"/>
                <w14:ligatures w14:val="none"/>
              </w:rPr>
              <w:t>Austria</w:t>
            </w:r>
            <w:proofErr w:type="spellEnd"/>
            <w:r w:rsidRPr="008D3852">
              <w:rPr>
                <w:rFonts w:eastAsia="Times New Roman" w:cs="Calibri"/>
                <w:color w:val="000000"/>
                <w:kern w:val="0"/>
                <w:sz w:val="16"/>
                <w:szCs w:val="16"/>
                <w:lang w:val="fr-FR"/>
                <w14:ligatures w14:val="none"/>
              </w:rPr>
              <w:t xml:space="preserve"> AG (</w:t>
            </w:r>
            <w:proofErr w:type="spellStart"/>
            <w:r w:rsidRPr="008D3852">
              <w:rPr>
                <w:rFonts w:eastAsia="Times New Roman" w:cs="Calibri"/>
                <w:color w:val="000000"/>
                <w:kern w:val="0"/>
                <w:sz w:val="16"/>
                <w:szCs w:val="16"/>
                <w:lang w:val="fr-FR"/>
                <w14:ligatures w14:val="none"/>
              </w:rPr>
              <w:t>Austria</w:t>
            </w:r>
            <w:proofErr w:type="spellEnd"/>
            <w:r w:rsidRPr="008D3852">
              <w:rPr>
                <w:rFonts w:eastAsia="Times New Roman" w:cs="Calibri"/>
                <w:color w:val="000000"/>
                <w:kern w:val="0"/>
                <w:sz w:val="16"/>
                <w:szCs w:val="16"/>
                <w:lang w:val="fr-FR"/>
                <w14:ligatures w14:val="none"/>
              </w:rPr>
              <w:t>)</w:t>
            </w:r>
          </w:p>
        </w:tc>
        <w:tc>
          <w:tcPr>
            <w:tcW w:w="99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832248C"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6B0F31E"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D6B7ABA"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0.383</w:t>
            </w:r>
          </w:p>
        </w:tc>
        <w:tc>
          <w:tcPr>
            <w:tcW w:w="1133"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3F4FE738" w14:textId="77777777" w:rsidR="00A90B69" w:rsidRPr="00516C1F" w:rsidRDefault="00A90B69" w:rsidP="00A90B69">
            <w:pPr>
              <w:spacing w:after="0" w:line="240" w:lineRule="auto"/>
              <w:jc w:val="right"/>
              <w:rPr>
                <w:rFonts w:eastAsia="Times New Roman" w:cs="Calibri"/>
                <w:color w:val="000000"/>
                <w:kern w:val="0"/>
                <w:sz w:val="16"/>
                <w:szCs w:val="16"/>
                <w:lang w:val="en-GB"/>
                <w14:ligatures w14:val="none"/>
              </w:rPr>
            </w:pPr>
            <w:r w:rsidRPr="00516C1F">
              <w:rPr>
                <w:rFonts w:eastAsia="Times New Roman" w:cs="Calibri"/>
                <w:color w:val="000000"/>
                <w:kern w:val="0"/>
                <w:sz w:val="16"/>
                <w:szCs w:val="16"/>
                <w:lang w:val="en-GB"/>
                <w14:ligatures w14:val="none"/>
              </w:rPr>
              <w:t>0.020</w:t>
            </w:r>
          </w:p>
        </w:tc>
      </w:tr>
    </w:tbl>
    <w:p w14:paraId="144F5DB8" w14:textId="77777777" w:rsidR="00C34203" w:rsidRPr="00AF7B46" w:rsidRDefault="00C34203" w:rsidP="00C34203">
      <w:pPr>
        <w:spacing w:after="0"/>
        <w:rPr>
          <w:rFonts w:cs="Calibri"/>
          <w:sz w:val="18"/>
          <w:szCs w:val="18"/>
          <w:lang w:val="en-GB"/>
        </w:rPr>
      </w:pPr>
      <w:r w:rsidRPr="00AF7B46">
        <w:rPr>
          <w:rFonts w:cs="Calibri"/>
          <w:sz w:val="18"/>
          <w:szCs w:val="18"/>
          <w:lang w:val="en-GB"/>
        </w:rPr>
        <w:t>Source: cordis database</w:t>
      </w:r>
    </w:p>
    <w:p w14:paraId="43CB111E" w14:textId="77777777" w:rsidR="00C34203" w:rsidRPr="00AF7B46" w:rsidRDefault="00C34203" w:rsidP="00E61AAF">
      <w:pPr>
        <w:spacing w:after="0"/>
        <w:rPr>
          <w:rFonts w:cs="Calibri"/>
          <w:sz w:val="18"/>
          <w:szCs w:val="18"/>
          <w:lang w:val="en-GB"/>
        </w:rPr>
      </w:pPr>
      <w:r w:rsidRPr="00AF7B46">
        <w:rPr>
          <w:rFonts w:cs="Calibri"/>
          <w:sz w:val="18"/>
          <w:szCs w:val="18"/>
          <w:lang w:val="en-GB"/>
        </w:rPr>
        <w:t>Note: the table includes only organizations from the Danube region that have participated in at least three Horizon Europe projects</w:t>
      </w:r>
    </w:p>
    <w:p w14:paraId="2D74B916" w14:textId="0FD9D58F" w:rsidR="00E1038F" w:rsidRPr="00AF7B46" w:rsidRDefault="00E61AAF" w:rsidP="00226CFB">
      <w:pPr>
        <w:jc w:val="both"/>
        <w:rPr>
          <w:rFonts w:cs="Calibri"/>
          <w:sz w:val="18"/>
          <w:szCs w:val="18"/>
          <w:lang w:val="en-GB"/>
        </w:rPr>
      </w:pPr>
      <w:r w:rsidRPr="00AF7B46">
        <w:rPr>
          <w:rFonts w:cs="Calibri"/>
          <w:sz w:val="18"/>
          <w:szCs w:val="18"/>
          <w:lang w:val="en-GB"/>
        </w:rPr>
        <w:t>The colour coding in the table represents different levels of performance: green cells indicate higher values, signifying strong participation and centrality within the network. Red cells highlight lower values, pointing to weaker integration and limited engagement in Horizon Europe projects.</w:t>
      </w:r>
    </w:p>
    <w:p w14:paraId="728E3DF3" w14:textId="77777777" w:rsidR="00B07451" w:rsidRDefault="00B07451" w:rsidP="00F775C4">
      <w:pPr>
        <w:rPr>
          <w:rFonts w:cs="Calibri"/>
          <w:lang w:val="en-GB"/>
        </w:rPr>
      </w:pPr>
    </w:p>
    <w:p w14:paraId="5B86A9FC" w14:textId="77777777" w:rsidR="008B736C" w:rsidRDefault="008B736C" w:rsidP="00F775C4">
      <w:pPr>
        <w:rPr>
          <w:rFonts w:cs="Calibri"/>
          <w:lang w:val="en-GB"/>
        </w:rPr>
      </w:pPr>
    </w:p>
    <w:p w14:paraId="4FB6CA4D" w14:textId="77777777" w:rsidR="008B736C" w:rsidRDefault="008B736C" w:rsidP="00F775C4">
      <w:pPr>
        <w:rPr>
          <w:rFonts w:cs="Calibri"/>
          <w:lang w:val="en-GB"/>
        </w:rPr>
      </w:pPr>
    </w:p>
    <w:p w14:paraId="32571B2A" w14:textId="77777777" w:rsidR="008B736C" w:rsidRDefault="008B736C" w:rsidP="00F775C4">
      <w:pPr>
        <w:rPr>
          <w:rFonts w:cs="Calibri"/>
          <w:lang w:val="en-GB"/>
        </w:rPr>
      </w:pPr>
    </w:p>
    <w:p w14:paraId="2DE05F62" w14:textId="77777777" w:rsidR="008B736C" w:rsidRDefault="008B736C" w:rsidP="00F775C4">
      <w:pPr>
        <w:rPr>
          <w:rFonts w:cs="Calibri"/>
          <w:lang w:val="en-GB"/>
        </w:rPr>
      </w:pPr>
    </w:p>
    <w:p w14:paraId="71358B82" w14:textId="77777777" w:rsidR="008B736C" w:rsidRDefault="008B736C" w:rsidP="00F775C4">
      <w:pPr>
        <w:rPr>
          <w:rFonts w:cs="Calibri"/>
          <w:lang w:val="en-GB"/>
        </w:rPr>
      </w:pPr>
    </w:p>
    <w:p w14:paraId="6890AE46" w14:textId="77777777" w:rsidR="008B736C" w:rsidRDefault="008B736C" w:rsidP="00F775C4">
      <w:pPr>
        <w:rPr>
          <w:rFonts w:cs="Calibri"/>
          <w:lang w:val="en-GB"/>
        </w:rPr>
      </w:pPr>
    </w:p>
    <w:p w14:paraId="4818BB6B" w14:textId="77777777" w:rsidR="008B736C" w:rsidRDefault="008B736C" w:rsidP="00F775C4">
      <w:pPr>
        <w:rPr>
          <w:rFonts w:cs="Calibri"/>
          <w:lang w:val="en-GB"/>
        </w:rPr>
      </w:pPr>
    </w:p>
    <w:p w14:paraId="058B2A1D" w14:textId="77777777" w:rsidR="008B736C" w:rsidRDefault="008B736C" w:rsidP="00F775C4">
      <w:pPr>
        <w:rPr>
          <w:rFonts w:cs="Calibri"/>
          <w:lang w:val="en-GB"/>
        </w:rPr>
      </w:pPr>
    </w:p>
    <w:p w14:paraId="6B419A91" w14:textId="77777777" w:rsidR="008B736C" w:rsidRDefault="008B736C" w:rsidP="00F775C4">
      <w:pPr>
        <w:rPr>
          <w:rFonts w:cs="Calibri"/>
          <w:lang w:val="en-GB"/>
        </w:rPr>
      </w:pPr>
    </w:p>
    <w:p w14:paraId="4B8CEE73" w14:textId="77777777" w:rsidR="008B736C" w:rsidRPr="00516C1F" w:rsidRDefault="008B736C" w:rsidP="00F775C4">
      <w:pPr>
        <w:rPr>
          <w:rFonts w:cs="Calibri"/>
          <w:lang w:val="en-GB"/>
        </w:rPr>
      </w:pPr>
    </w:p>
    <w:p w14:paraId="09227673" w14:textId="15FC897A" w:rsidR="000A5AEE" w:rsidRPr="00516C1F" w:rsidRDefault="000A5AEE" w:rsidP="00665F97">
      <w:pPr>
        <w:pStyle w:val="Heading1"/>
        <w:numPr>
          <w:ilvl w:val="0"/>
          <w:numId w:val="3"/>
        </w:numPr>
        <w:rPr>
          <w:lang w:val="en-GB"/>
        </w:rPr>
      </w:pPr>
      <w:bookmarkStart w:id="23" w:name="_Toc208824196"/>
      <w:r w:rsidRPr="00516C1F">
        <w:rPr>
          <w:lang w:val="en-GB"/>
        </w:rPr>
        <w:lastRenderedPageBreak/>
        <w:t>Key Findings and Policy Recommendations</w:t>
      </w:r>
      <w:bookmarkEnd w:id="23"/>
    </w:p>
    <w:p w14:paraId="0A26D07B" w14:textId="064EB3E5" w:rsidR="000A5AEE" w:rsidRPr="00516C1F" w:rsidRDefault="00171F61" w:rsidP="003D70EC">
      <w:pPr>
        <w:pStyle w:val="Heading2"/>
        <w:rPr>
          <w:lang w:val="en-GB"/>
        </w:rPr>
      </w:pPr>
      <w:bookmarkStart w:id="24" w:name="_Toc208824197"/>
      <w:r w:rsidRPr="00516C1F">
        <w:rPr>
          <w:lang w:val="en-GB"/>
        </w:rPr>
        <w:t xml:space="preserve">5.1. </w:t>
      </w:r>
      <w:r w:rsidR="000A5AEE" w:rsidRPr="00516C1F">
        <w:rPr>
          <w:lang w:val="en-GB"/>
        </w:rPr>
        <w:t>Summary of Key Findings</w:t>
      </w:r>
      <w:bookmarkEnd w:id="24"/>
      <w:r w:rsidR="000A5AEE" w:rsidRPr="00516C1F">
        <w:rPr>
          <w:lang w:val="en-GB"/>
        </w:rPr>
        <w:t xml:space="preserve"> </w:t>
      </w:r>
    </w:p>
    <w:p w14:paraId="667E6639" w14:textId="77C17A15" w:rsidR="00164136" w:rsidRPr="00516C1F" w:rsidRDefault="00BF304A" w:rsidP="00164136">
      <w:pPr>
        <w:jc w:val="both"/>
        <w:rPr>
          <w:rFonts w:cs="Calibri"/>
          <w:lang w:val="en-GB"/>
        </w:rPr>
      </w:pPr>
      <w:r w:rsidRPr="00516C1F">
        <w:rPr>
          <w:rFonts w:cs="Calibri"/>
          <w:lang w:val="en-GB"/>
        </w:rPr>
        <w:t xml:space="preserve">This </w:t>
      </w:r>
      <w:r w:rsidR="00C36172">
        <w:rPr>
          <w:rFonts w:cs="Calibri"/>
          <w:lang w:val="en-GB"/>
        </w:rPr>
        <w:t>study</w:t>
      </w:r>
      <w:r w:rsidRPr="00516C1F">
        <w:rPr>
          <w:rFonts w:cs="Calibri"/>
          <w:lang w:val="en-GB"/>
        </w:rPr>
        <w:t xml:space="preserve"> provides an analysis of patterns of research cooperation in the Danube region, </w:t>
      </w:r>
      <w:r w:rsidR="00440A1B" w:rsidRPr="00516C1F">
        <w:rPr>
          <w:rFonts w:cs="Calibri"/>
          <w:lang w:val="en-GB"/>
        </w:rPr>
        <w:t xml:space="preserve">based on participation in Horizon Europe projects, </w:t>
      </w:r>
      <w:r w:rsidRPr="00516C1F">
        <w:rPr>
          <w:rFonts w:cs="Calibri"/>
          <w:lang w:val="en-GB"/>
        </w:rPr>
        <w:t xml:space="preserve">highlighting the role of S3 </w:t>
      </w:r>
      <w:r w:rsidR="00440A1B" w:rsidRPr="00516C1F">
        <w:rPr>
          <w:rFonts w:cs="Calibri"/>
          <w:lang w:val="en-GB"/>
        </w:rPr>
        <w:t>priorities</w:t>
      </w:r>
      <w:r w:rsidRPr="00516C1F">
        <w:rPr>
          <w:rFonts w:cs="Calibri"/>
          <w:lang w:val="en-GB"/>
        </w:rPr>
        <w:t xml:space="preserve"> in shaping regional innovation.</w:t>
      </w:r>
    </w:p>
    <w:p w14:paraId="05E338A9" w14:textId="4945527F" w:rsidR="00164136" w:rsidRPr="00516C1F" w:rsidRDefault="00BF304A" w:rsidP="00164136">
      <w:pPr>
        <w:jc w:val="both"/>
        <w:rPr>
          <w:rFonts w:cs="Calibri"/>
          <w:lang w:val="en-GB"/>
        </w:rPr>
      </w:pPr>
      <w:r w:rsidRPr="00516C1F">
        <w:rPr>
          <w:rFonts w:cs="Calibri"/>
          <w:lang w:val="en-GB"/>
        </w:rPr>
        <w:t xml:space="preserve">The analysis reveals significant differences in research participation in the Danube region. Countries such as Slovenia, Austria and Germany (Bavaria and Baden-Württemberg) show high per capita participation in Horizon Europe projects, indicating a well-developed research ecosystem and strong integration into European funding frameworks. In contrast, non-EU countries such as </w:t>
      </w:r>
      <w:r w:rsidR="001406E3" w:rsidRPr="00516C1F">
        <w:rPr>
          <w:rFonts w:cs="Calibri"/>
          <w:lang w:val="en-GB"/>
        </w:rPr>
        <w:t xml:space="preserve">Ukraine, </w:t>
      </w:r>
      <w:r w:rsidRPr="00516C1F">
        <w:rPr>
          <w:rFonts w:cs="Calibri"/>
          <w:lang w:val="en-GB"/>
        </w:rPr>
        <w:t>Bosnia and Herzegovina, Moldova and Montenegro have lower participation rates, indicating structural challenges in accessing research funding and forming international collaborations. The per capita analysis underlines that research excellence does not depend solely on the size of the country, but also on institutional capacity and strategic investment in research and innovation.</w:t>
      </w:r>
    </w:p>
    <w:p w14:paraId="45A1372C" w14:textId="155205B3" w:rsidR="00164136" w:rsidRPr="00516C1F" w:rsidRDefault="005B3B8A" w:rsidP="00164136">
      <w:pPr>
        <w:jc w:val="both"/>
        <w:rPr>
          <w:rFonts w:cs="Calibri"/>
          <w:lang w:val="en-GB"/>
        </w:rPr>
      </w:pPr>
      <w:r w:rsidRPr="005B3B8A">
        <w:rPr>
          <w:rFonts w:cs="Calibri"/>
          <w:lang w:val="en-GB"/>
        </w:rPr>
        <w:t xml:space="preserve">Agri-Food, Bioeconomy </w:t>
      </w:r>
      <w:r w:rsidR="00833DD9">
        <w:rPr>
          <w:rFonts w:cs="Calibri"/>
          <w:lang w:val="en-GB"/>
        </w:rPr>
        <w:t>&amp;</w:t>
      </w:r>
      <w:r w:rsidRPr="005B3B8A">
        <w:rPr>
          <w:rFonts w:cs="Calibri"/>
          <w:lang w:val="en-GB"/>
        </w:rPr>
        <w:t xml:space="preserve"> Biotechnology</w:t>
      </w:r>
      <w:r w:rsidR="00833DD9">
        <w:rPr>
          <w:rFonts w:cs="Calibri"/>
          <w:lang w:val="en-GB"/>
        </w:rPr>
        <w:t>,</w:t>
      </w:r>
      <w:r w:rsidRPr="005B3B8A">
        <w:rPr>
          <w:rFonts w:cs="Calibri"/>
          <w:lang w:val="en-GB"/>
        </w:rPr>
        <w:t xml:space="preserve"> ICT and Digitalisation</w:t>
      </w:r>
      <w:r w:rsidR="00833DD9">
        <w:rPr>
          <w:rFonts w:cs="Calibri"/>
          <w:lang w:val="en-GB"/>
        </w:rPr>
        <w:t xml:space="preserve"> and</w:t>
      </w:r>
      <w:r w:rsidRPr="005B3B8A">
        <w:rPr>
          <w:rFonts w:cs="Calibri"/>
          <w:lang w:val="en-GB"/>
        </w:rPr>
        <w:t xml:space="preserve"> Climate and Energy</w:t>
      </w:r>
      <w:r w:rsidR="00833DD9">
        <w:rPr>
          <w:rFonts w:cs="Calibri"/>
          <w:lang w:val="en-GB"/>
        </w:rPr>
        <w:t xml:space="preserve"> </w:t>
      </w:r>
      <w:r w:rsidRPr="005B3B8A">
        <w:rPr>
          <w:rFonts w:cs="Calibri"/>
          <w:lang w:val="en-GB"/>
        </w:rPr>
        <w:t xml:space="preserve">have been identified as the most common priority areas in Smart Specialisation Strategies across the Danube Region. </w:t>
      </w:r>
      <w:r w:rsidR="00833DD9">
        <w:rPr>
          <w:rFonts w:cs="Calibri"/>
          <w:lang w:val="en-GB"/>
        </w:rPr>
        <w:t>It has been shown that t</w:t>
      </w:r>
      <w:r w:rsidRPr="005B3B8A">
        <w:rPr>
          <w:rFonts w:cs="Calibri"/>
          <w:lang w:val="en-GB"/>
        </w:rPr>
        <w:t>hese three areas represent critical drivers of transformative economic and technological progress in the region. Moreover, the results suggest that interdisciplinary collaboration between them</w:t>
      </w:r>
      <w:r w:rsidR="00833DD9">
        <w:rPr>
          <w:rFonts w:cs="Calibri"/>
          <w:lang w:val="en-GB"/>
        </w:rPr>
        <w:t xml:space="preserve">, </w:t>
      </w:r>
      <w:r w:rsidRPr="005B3B8A">
        <w:rPr>
          <w:rFonts w:cs="Calibri"/>
          <w:lang w:val="en-GB"/>
        </w:rPr>
        <w:t>such as applying AI-driven tools in smart agriculture, integrating IoT-enabled energy grids, or developing bio-based innovations for sustainable resource use</w:t>
      </w:r>
      <w:r w:rsidR="00833DD9">
        <w:rPr>
          <w:rFonts w:cs="Calibri"/>
          <w:lang w:val="en-GB"/>
        </w:rPr>
        <w:t xml:space="preserve">, </w:t>
      </w:r>
      <w:r w:rsidRPr="005B3B8A">
        <w:rPr>
          <w:rFonts w:cs="Calibri"/>
          <w:lang w:val="en-GB"/>
        </w:rPr>
        <w:t>could further enhance regional innovation potential and competitiveness.</w:t>
      </w:r>
    </w:p>
    <w:p w14:paraId="10AA0FE0" w14:textId="52CEBD4D" w:rsidR="00164136" w:rsidRPr="00516C1F" w:rsidRDefault="00CF2868" w:rsidP="00164136">
      <w:pPr>
        <w:jc w:val="both"/>
        <w:rPr>
          <w:rFonts w:cs="Calibri"/>
          <w:lang w:val="en-GB"/>
        </w:rPr>
      </w:pPr>
      <w:r w:rsidRPr="00516C1F">
        <w:rPr>
          <w:rFonts w:cs="Calibri"/>
          <w:lang w:val="en-GB"/>
        </w:rPr>
        <w:t xml:space="preserve">The SNA has identified important research centres and cooperation patterns that reveal a highly structured network with prominent central institutions. Organisations such as the </w:t>
      </w:r>
      <w:r w:rsidR="002603C0" w:rsidRPr="00516C1F">
        <w:rPr>
          <w:rFonts w:cs="Calibri"/>
          <w:lang w:val="en-GB"/>
        </w:rPr>
        <w:t xml:space="preserve">Fraunhofer Society for the Promotion of Applied Research </w:t>
      </w:r>
      <w:r w:rsidRPr="00516C1F">
        <w:rPr>
          <w:rFonts w:cs="Calibri"/>
          <w:lang w:val="en-GB"/>
        </w:rPr>
        <w:t>(Germany), the Technical University of Munich (Germany), the Jožef Stefan Institute (Slovenia) and the Vienna University of Technology (Austria) act as important research centres. These institutions play a crucial role in driving research initiatives, promoting knowledge exchange and connecting smaller, peripheral organisations. The analysis also shows that Germany and Austria dominate the central positions in the research networks, but emerging players from Slovenia, Croatia and Serbia are becoming increasingly important. Institutions from less integrated regions take a peripheral role, highlighting the need for targeted capacity building efforts to bridge disparities.</w:t>
      </w:r>
    </w:p>
    <w:p w14:paraId="3AAD27C3" w14:textId="29C8BD38" w:rsidR="00164136" w:rsidRPr="00516C1F" w:rsidRDefault="001D702A" w:rsidP="00164136">
      <w:pPr>
        <w:jc w:val="both"/>
        <w:rPr>
          <w:rFonts w:cs="Calibri"/>
          <w:lang w:val="en-GB"/>
        </w:rPr>
      </w:pPr>
      <w:r w:rsidRPr="00516C1F">
        <w:rPr>
          <w:rFonts w:cs="Calibri"/>
          <w:lang w:val="en-GB"/>
        </w:rPr>
        <w:t>Despite the strong research involvement of leading institutions, the study reveals persistent differences in research cooperation in the Danube region. Smaller institutions and non-EU countries face systemic obstacles such as weaker institutional capacity, which limit their ability to integrate into larger research networks. The findings highlight the need for policy measures that strengthen research collaboration through greater inclusivity and access to resources.</w:t>
      </w:r>
    </w:p>
    <w:p w14:paraId="386CD2CC" w14:textId="7DF9D166" w:rsidR="00164136" w:rsidRPr="00516C1F" w:rsidRDefault="0062317E" w:rsidP="00164136">
      <w:pPr>
        <w:jc w:val="both"/>
        <w:rPr>
          <w:rFonts w:cs="Calibri"/>
          <w:lang w:val="en-GB"/>
        </w:rPr>
      </w:pPr>
      <w:r w:rsidRPr="00516C1F">
        <w:rPr>
          <w:rFonts w:cs="Calibri"/>
          <w:lang w:val="en-GB"/>
        </w:rPr>
        <w:t xml:space="preserve">An important result of the analysis is the importance of bridging institutions in facilitating knowledge transfer. Organizations with a high degree of betweenness centrality, such as the Jožef Stefan Institute (Slovenia) and the </w:t>
      </w:r>
      <w:proofErr w:type="spellStart"/>
      <w:r w:rsidRPr="00516C1F">
        <w:rPr>
          <w:rFonts w:cs="Calibri"/>
          <w:lang w:val="en-GB"/>
        </w:rPr>
        <w:t>Ruđer</w:t>
      </w:r>
      <w:proofErr w:type="spellEnd"/>
      <w:r w:rsidRPr="00516C1F">
        <w:rPr>
          <w:rFonts w:cs="Calibri"/>
          <w:lang w:val="en-GB"/>
        </w:rPr>
        <w:t xml:space="preserve"> Bošković Institute (Croatia), serve as important links between smaller institutions and central research hubs. These institutions play a crucial role in promoting cross-border cooperation, improving regional cohesion and improving the overall connectivity of the research ecosystem in the </w:t>
      </w:r>
      <w:r w:rsidR="006F6751">
        <w:rPr>
          <w:rFonts w:cs="Calibri"/>
          <w:lang w:val="en-GB"/>
        </w:rPr>
        <w:t>S3 priority areas in the Region.</w:t>
      </w:r>
    </w:p>
    <w:p w14:paraId="41DFB8A5" w14:textId="2334F5D3" w:rsidR="00164136" w:rsidRPr="00516C1F" w:rsidRDefault="001D702A" w:rsidP="00164136">
      <w:pPr>
        <w:jc w:val="both"/>
        <w:rPr>
          <w:rFonts w:cs="Calibri"/>
          <w:lang w:val="en-GB"/>
        </w:rPr>
      </w:pPr>
      <w:r w:rsidRPr="00516C1F">
        <w:rPr>
          <w:rFonts w:cs="Calibri"/>
          <w:lang w:val="en-GB"/>
        </w:rPr>
        <w:lastRenderedPageBreak/>
        <w:t>The results underline the need for strategic policy interventions to improve access to funding, support interdisciplinary research and promote cross-border institutional cooperation. Strengthening research collaboration through targeted investments and improved institutional frameworks is key to increasing regional integration and innovation impact.</w:t>
      </w:r>
    </w:p>
    <w:p w14:paraId="3EBB784B" w14:textId="77777777" w:rsidR="00164136" w:rsidRPr="00516C1F" w:rsidRDefault="00164136" w:rsidP="00164136">
      <w:pPr>
        <w:rPr>
          <w:rFonts w:cs="Calibri"/>
          <w:lang w:val="en-GB"/>
        </w:rPr>
      </w:pPr>
    </w:p>
    <w:p w14:paraId="46A28DE9" w14:textId="3C892CFF" w:rsidR="00A747C0" w:rsidRPr="00516C1F" w:rsidRDefault="00171F61" w:rsidP="00A747C0">
      <w:pPr>
        <w:pStyle w:val="Heading2"/>
        <w:rPr>
          <w:lang w:val="en-GB"/>
        </w:rPr>
      </w:pPr>
      <w:bookmarkStart w:id="25" w:name="_Toc208824198"/>
      <w:r w:rsidRPr="00516C1F">
        <w:rPr>
          <w:lang w:val="en-GB"/>
        </w:rPr>
        <w:t xml:space="preserve">5.2. </w:t>
      </w:r>
      <w:r w:rsidR="00A747C0" w:rsidRPr="00516C1F">
        <w:rPr>
          <w:lang w:val="en-GB"/>
        </w:rPr>
        <w:t>Future Directions for Research Collaboration in the Danube Region</w:t>
      </w:r>
      <w:bookmarkEnd w:id="25"/>
    </w:p>
    <w:p w14:paraId="4D6BDB5E" w14:textId="79299A2A" w:rsidR="008E4888" w:rsidRPr="00516C1F" w:rsidRDefault="001A593D" w:rsidP="0062317E">
      <w:pPr>
        <w:jc w:val="both"/>
        <w:rPr>
          <w:rFonts w:cs="Calibri"/>
          <w:lang w:val="en-GB"/>
        </w:rPr>
      </w:pPr>
      <w:r w:rsidRPr="00516C1F">
        <w:rPr>
          <w:rFonts w:cs="Calibri"/>
          <w:lang w:val="en-GB"/>
        </w:rPr>
        <w:t>The Danube Region has immense potential to play a leading role in research cooperation and innovation by building on its existing strengths and addressing current disparities. To fully exploit the potential of research and innovation in the Danube Region, it is important to address existing disparities, promote cooperation and capitalize on the region’s strengths. The following directions outline strategic measures that can strengthen research ecosystems and drive effective collaborations:</w:t>
      </w:r>
    </w:p>
    <w:p w14:paraId="42F3B660" w14:textId="69904EB9" w:rsidR="00B36CAD" w:rsidRDefault="00DE1226" w:rsidP="00665F97">
      <w:pPr>
        <w:pStyle w:val="ListParagraph"/>
        <w:numPr>
          <w:ilvl w:val="0"/>
          <w:numId w:val="12"/>
        </w:numPr>
        <w:jc w:val="both"/>
        <w:rPr>
          <w:rFonts w:cs="Calibri"/>
          <w:lang w:val="en-GB"/>
        </w:rPr>
      </w:pPr>
      <w:r w:rsidRPr="00DE1226">
        <w:rPr>
          <w:rFonts w:cs="Calibri"/>
          <w:b/>
          <w:bCs/>
          <w:lang w:val="en-GB"/>
        </w:rPr>
        <w:t>Reducing disparities and strengthening inclusiveness</w:t>
      </w:r>
      <w:r w:rsidR="008531C7" w:rsidRPr="00516C1F">
        <w:rPr>
          <w:rFonts w:cs="Calibri"/>
          <w:b/>
          <w:bCs/>
          <w:lang w:val="en-GB"/>
        </w:rPr>
        <w:t xml:space="preserve">. </w:t>
      </w:r>
      <w:r w:rsidR="00803954" w:rsidRPr="00803954">
        <w:rPr>
          <w:rFonts w:cs="Calibri"/>
          <w:lang w:val="en-GB"/>
        </w:rPr>
        <w:t>The analysis shows that institutions from downstream Danube countries such as Ukraine, Moldova, Bosnia and Herzegovina, Serbia, and Montenegro occupy predominantly peripheral positions in the cooperation networks and record significantly lower participation rates in Horizon Europe projects. This highlights structural weaknesses in institutional capacity, access to funding, and integration into international consortia. To address these disparities, targeted measures are needed to strengthen their role in regional collaboration. Such measures could include tailored capacity-building programs, dedicated mobility and training schemes for researchers, and the development of support structures for proposal preparation. In addition, twinning initiatives that link leading central institutions</w:t>
      </w:r>
      <w:r w:rsidR="00BD02CE">
        <w:rPr>
          <w:rFonts w:cs="Calibri"/>
          <w:lang w:val="en-GB"/>
        </w:rPr>
        <w:t xml:space="preserve">, </w:t>
      </w:r>
      <w:r w:rsidR="00803954" w:rsidRPr="00803954">
        <w:rPr>
          <w:rFonts w:cs="Calibri"/>
          <w:lang w:val="en-GB"/>
        </w:rPr>
        <w:t>such as Fraunhofer Society, Technical University of Munich, or Jožef Stefan Institute</w:t>
      </w:r>
      <w:r w:rsidR="00BD02CE">
        <w:rPr>
          <w:rFonts w:cs="Calibri"/>
          <w:lang w:val="en-GB"/>
        </w:rPr>
        <w:t xml:space="preserve">, </w:t>
      </w:r>
      <w:r w:rsidR="00803954" w:rsidRPr="00803954">
        <w:rPr>
          <w:rFonts w:cs="Calibri"/>
          <w:lang w:val="en-GB"/>
        </w:rPr>
        <w:t>with less-integrated actors would facilitate knowledge transfer, increase connectivity, and improve Horizon Europe participation rates across the region</w:t>
      </w:r>
      <w:r w:rsidR="008531C7" w:rsidRPr="00516C1F">
        <w:rPr>
          <w:rFonts w:cs="Calibri"/>
          <w:lang w:val="en-GB"/>
        </w:rPr>
        <w:t>.</w:t>
      </w:r>
    </w:p>
    <w:p w14:paraId="1D47A7CA" w14:textId="7C10943A" w:rsidR="00B36CAD" w:rsidRPr="00516C1F" w:rsidRDefault="003331AB" w:rsidP="00665F97">
      <w:pPr>
        <w:pStyle w:val="ListParagraph"/>
        <w:numPr>
          <w:ilvl w:val="0"/>
          <w:numId w:val="12"/>
        </w:numPr>
        <w:jc w:val="both"/>
        <w:rPr>
          <w:rFonts w:cs="Calibri"/>
          <w:lang w:val="en-GB"/>
        </w:rPr>
      </w:pPr>
      <w:r w:rsidRPr="00516C1F">
        <w:rPr>
          <w:rFonts w:cs="Calibri"/>
          <w:b/>
          <w:bCs/>
          <w:lang w:val="en-GB"/>
        </w:rPr>
        <w:t xml:space="preserve">Fostering cross-border and interdisciplinary </w:t>
      </w:r>
      <w:r w:rsidR="001406E3" w:rsidRPr="00516C1F">
        <w:rPr>
          <w:rFonts w:cs="Calibri"/>
          <w:b/>
          <w:bCs/>
          <w:lang w:val="en-GB"/>
        </w:rPr>
        <w:t xml:space="preserve">research </w:t>
      </w:r>
      <w:r w:rsidRPr="00516C1F">
        <w:rPr>
          <w:rFonts w:cs="Calibri"/>
          <w:b/>
          <w:bCs/>
          <w:lang w:val="en-GB"/>
        </w:rPr>
        <w:t xml:space="preserve">collaboration. </w:t>
      </w:r>
      <w:r w:rsidR="00AC1228" w:rsidRPr="00AC1228">
        <w:rPr>
          <w:rFonts w:cs="Calibri"/>
          <w:lang w:val="en-GB"/>
        </w:rPr>
        <w:t>ICT and Digitalisation, Climate and Energy, and Agri-Food, Bioeconomy and Biotechnology have emerged as the most common S3 priority areas in the Danube Region. While these domains already show strong research activity, the results suggest that their transformative potential lies in fostering interdisciplinary collaboration. Strengthening interdisciplinary ties would not only enhance the innovation potential of the region but also increase its competitiveness in addressing major societal challenges such as food security, energy transition, and digital transformation</w:t>
      </w:r>
      <w:r w:rsidR="00617FB8" w:rsidRPr="00516C1F">
        <w:rPr>
          <w:rFonts w:cs="Calibri"/>
          <w:lang w:val="en-GB"/>
        </w:rPr>
        <w:t>.</w:t>
      </w:r>
    </w:p>
    <w:p w14:paraId="392D626D" w14:textId="081B2721" w:rsidR="007F4585" w:rsidRPr="00516C1F" w:rsidRDefault="00B76FD5" w:rsidP="00665F97">
      <w:pPr>
        <w:pStyle w:val="ListParagraph"/>
        <w:numPr>
          <w:ilvl w:val="0"/>
          <w:numId w:val="12"/>
        </w:numPr>
        <w:jc w:val="both"/>
        <w:rPr>
          <w:rFonts w:cs="Calibri"/>
          <w:lang w:val="en-GB"/>
        </w:rPr>
      </w:pPr>
      <w:r w:rsidRPr="00B76FD5">
        <w:rPr>
          <w:rFonts w:cs="Calibri"/>
          <w:b/>
          <w:bCs/>
          <w:lang w:val="en-GB"/>
        </w:rPr>
        <w:t>Empowering bridging institutions and building regional cohesion</w:t>
      </w:r>
      <w:r w:rsidR="00AD5A58" w:rsidRPr="00516C1F">
        <w:rPr>
          <w:rFonts w:cs="Calibri"/>
          <w:b/>
          <w:bCs/>
          <w:lang w:val="en-GB"/>
        </w:rPr>
        <w:t xml:space="preserve">. </w:t>
      </w:r>
      <w:r w:rsidR="00BA4A7D" w:rsidRPr="00BA4A7D">
        <w:rPr>
          <w:rFonts w:cs="Calibri"/>
          <w:lang w:val="en-GB"/>
        </w:rPr>
        <w:t xml:space="preserve">Social network analysis highlights the pivotal role of institutions with high betweenness centrality, such as the Jožef Stefan Institute (Slovenia) and the </w:t>
      </w:r>
      <w:proofErr w:type="spellStart"/>
      <w:r w:rsidR="00BA4A7D" w:rsidRPr="00BA4A7D">
        <w:rPr>
          <w:rFonts w:cs="Calibri"/>
          <w:lang w:val="en-GB"/>
        </w:rPr>
        <w:t>Ruđer</w:t>
      </w:r>
      <w:proofErr w:type="spellEnd"/>
      <w:r w:rsidR="00BA4A7D" w:rsidRPr="00BA4A7D">
        <w:rPr>
          <w:rFonts w:cs="Calibri"/>
          <w:lang w:val="en-GB"/>
        </w:rPr>
        <w:t xml:space="preserve"> Bošković Institute (Croatia), in connecting peripheral organisations to central hubs. These institutions act as crucial conduits for knowledge transfer and regional cohesion</w:t>
      </w:r>
      <w:r w:rsidR="00425D3C">
        <w:rPr>
          <w:rFonts w:cs="Calibri"/>
          <w:lang w:val="en-GB"/>
        </w:rPr>
        <w:t xml:space="preserve"> in the s3 priority areas</w:t>
      </w:r>
      <w:r w:rsidR="00BA4A7D" w:rsidRPr="00BA4A7D">
        <w:rPr>
          <w:rFonts w:cs="Calibri"/>
          <w:lang w:val="en-GB"/>
        </w:rPr>
        <w:t>. Strengthening their role as regional coordinators through dedicated support</w:t>
      </w:r>
      <w:r w:rsidR="00BA4A7D">
        <w:rPr>
          <w:rFonts w:cs="Calibri"/>
          <w:lang w:val="en-GB"/>
        </w:rPr>
        <w:t xml:space="preserve">, </w:t>
      </w:r>
      <w:r w:rsidR="00BA4A7D" w:rsidRPr="00BA4A7D">
        <w:rPr>
          <w:rFonts w:cs="Calibri"/>
          <w:lang w:val="en-GB"/>
        </w:rPr>
        <w:t>such as funding for training programmes, matchmaking activities, would amplify their impact and ensure more inclusive participation. Recognising and empowering such institutions as “regional anchors” would contribute to balancing disparities and creating a more integrated research ecosystem across the Danube Region</w:t>
      </w:r>
      <w:r w:rsidR="00AD5A58" w:rsidRPr="00516C1F">
        <w:rPr>
          <w:rFonts w:cs="Calibri"/>
          <w:lang w:val="en-GB"/>
        </w:rPr>
        <w:t>.</w:t>
      </w:r>
    </w:p>
    <w:p w14:paraId="41284783" w14:textId="1768C42A" w:rsidR="00060264" w:rsidRPr="00516C1F" w:rsidRDefault="00B31351" w:rsidP="00665F97">
      <w:pPr>
        <w:pStyle w:val="ListParagraph"/>
        <w:numPr>
          <w:ilvl w:val="0"/>
          <w:numId w:val="12"/>
        </w:numPr>
        <w:jc w:val="both"/>
        <w:rPr>
          <w:rFonts w:cs="Calibri"/>
          <w:lang w:val="en-GB"/>
        </w:rPr>
      </w:pPr>
      <w:r>
        <w:rPr>
          <w:rFonts w:cs="Calibri"/>
          <w:b/>
          <w:bCs/>
          <w:lang w:val="en-GB"/>
        </w:rPr>
        <w:t xml:space="preserve">Targeting emerging research areas for investment. </w:t>
      </w:r>
      <w:r w:rsidR="000E346B" w:rsidRPr="000E346B">
        <w:rPr>
          <w:rFonts w:cs="Calibri"/>
          <w:lang w:val="en-GB"/>
        </w:rPr>
        <w:t xml:space="preserve">Emerging research areas in ICT and Digitalisation—such as artificial intelligence, big data analytics, and digital twins—offer transformative opportunities for the region. Likewise, advances in Climate and Energy, including </w:t>
      </w:r>
      <w:r w:rsidR="000E346B" w:rsidRPr="000E346B">
        <w:rPr>
          <w:rFonts w:cs="Calibri"/>
          <w:lang w:val="en-GB"/>
        </w:rPr>
        <w:lastRenderedPageBreak/>
        <w:t>hydrogen technologies, energy storage, and circular economy solutions, as well as progress in Agri-Food, Bioeconomy and Biotechnology, from precision agriculture and bio-based materials to genomics and advanced biotechnologies, align closely with global sustainability goals. Strategic investment in these areas, through dedicated funding schemes, public–private partnerships, and regional pilot programmes, would position the Danube Region at the forefront of innovation-driven sustainable development. Moreover, engaging institutions with a strong project portfolio but low network centrality (e.g., Charles University, Helmholtz Zentrum M</w:t>
      </w:r>
      <w:r w:rsidR="00ED672F">
        <w:rPr>
          <w:rFonts w:cs="Calibri"/>
          <w:lang w:val="en-GB"/>
        </w:rPr>
        <w:t>u</w:t>
      </w:r>
      <w:r w:rsidR="000E346B" w:rsidRPr="000E346B">
        <w:rPr>
          <w:rFonts w:cs="Calibri"/>
          <w:lang w:val="en-GB"/>
        </w:rPr>
        <w:t>nchen) in targeted interdisciplinary consortia would improve knowledge diffusion and strengthen overall network connectivity</w:t>
      </w:r>
      <w:r w:rsidRPr="00EB54EC">
        <w:rPr>
          <w:rFonts w:cs="Calibri"/>
          <w:lang w:val="en-GB"/>
        </w:rPr>
        <w:t>.</w:t>
      </w:r>
    </w:p>
    <w:p w14:paraId="06D079B4" w14:textId="778947F1" w:rsidR="00364F1D" w:rsidRPr="00516C1F" w:rsidRDefault="00485907" w:rsidP="00364F1D">
      <w:pPr>
        <w:pStyle w:val="ListParagraph"/>
        <w:numPr>
          <w:ilvl w:val="0"/>
          <w:numId w:val="12"/>
        </w:numPr>
        <w:jc w:val="both"/>
        <w:rPr>
          <w:rFonts w:cs="Calibri"/>
          <w:lang w:val="en-GB"/>
        </w:rPr>
      </w:pPr>
      <w:r w:rsidRPr="00516C1F">
        <w:rPr>
          <w:rFonts w:cs="Calibri"/>
          <w:b/>
          <w:bCs/>
          <w:lang w:val="en-GB"/>
        </w:rPr>
        <w:t xml:space="preserve">Enhancing the role of the EU Strategy for the Danube Region’s (EUSDR) Priority Area 7 </w:t>
      </w:r>
      <w:r w:rsidR="00505E3D" w:rsidRPr="00516C1F">
        <w:rPr>
          <w:rFonts w:cs="Calibri"/>
          <w:b/>
          <w:bCs/>
          <w:lang w:val="en-GB"/>
        </w:rPr>
        <w:t>“</w:t>
      </w:r>
      <w:r w:rsidRPr="00516C1F">
        <w:rPr>
          <w:rFonts w:cs="Calibri"/>
          <w:b/>
          <w:bCs/>
          <w:lang w:val="en-GB"/>
        </w:rPr>
        <w:t>Knowledge Society</w:t>
      </w:r>
      <w:r w:rsidR="00505E3D" w:rsidRPr="00516C1F">
        <w:rPr>
          <w:rFonts w:cs="Calibri"/>
          <w:b/>
          <w:bCs/>
          <w:lang w:val="en-GB"/>
        </w:rPr>
        <w:t>”</w:t>
      </w:r>
      <w:r w:rsidRPr="00516C1F">
        <w:rPr>
          <w:rFonts w:cs="Calibri"/>
          <w:lang w:val="en-GB"/>
        </w:rPr>
        <w:t xml:space="preserve">. As an important policy mechanism to promote research cooperation, PA7 provides a platform for transnational cooperation and should be further used to align national and regional research priorities. </w:t>
      </w:r>
      <w:r w:rsidR="00C36172" w:rsidRPr="00516C1F">
        <w:rPr>
          <w:rFonts w:cs="Calibri"/>
          <w:lang w:val="en-GB"/>
        </w:rPr>
        <w:t>A crucial step is to expand the role of the PA7 Smart Specialization Working Group</w:t>
      </w:r>
      <w:r w:rsidR="00C36172">
        <w:rPr>
          <w:rFonts w:cs="Calibri"/>
          <w:lang w:val="en-GB"/>
        </w:rPr>
        <w:t>, in cooperation and synergy with other PA7 Working Groups (WG DFCN, WG ERA, WG HEM)</w:t>
      </w:r>
      <w:r w:rsidR="00C36172">
        <w:rPr>
          <w:rFonts w:cs="Calibri"/>
          <w:lang w:val="en-GB"/>
        </w:rPr>
        <w:t>, facilitated by Danube Strategy Point (DSP)</w:t>
      </w:r>
      <w:r w:rsidR="00C36172">
        <w:rPr>
          <w:rFonts w:cs="Calibri"/>
          <w:lang w:val="en-GB"/>
        </w:rPr>
        <w:t xml:space="preserve">, </w:t>
      </w:r>
      <w:r w:rsidR="00C36172" w:rsidRPr="00516C1F">
        <w:rPr>
          <w:rFonts w:cs="Calibri"/>
          <w:lang w:val="en-GB"/>
        </w:rPr>
        <w:t xml:space="preserve">by institutionalizing it as a permanent coordination platform. </w:t>
      </w:r>
      <w:r w:rsidRPr="00516C1F">
        <w:rPr>
          <w:rFonts w:cs="Calibri"/>
          <w:lang w:val="en-GB"/>
        </w:rPr>
        <w:t>This platform could facilitate matchmaking between research institutions, universities and companies across the Danube region. In addition, PA7 should lead the development of policy recommendations and strategic roadmaps to more effectively integrate research priorities into Interreg programs. By creating a more structured and integrated research ecosystem, this initiative can help to strengthen synergies between ICT</w:t>
      </w:r>
      <w:r w:rsidR="000A5286" w:rsidRPr="00516C1F">
        <w:rPr>
          <w:lang w:val="en-GB"/>
        </w:rPr>
        <w:t xml:space="preserve"> </w:t>
      </w:r>
      <w:r w:rsidR="000A5286" w:rsidRPr="00516C1F">
        <w:rPr>
          <w:rFonts w:cs="Calibri"/>
          <w:lang w:val="en-GB"/>
        </w:rPr>
        <w:t>and Digitalisation</w:t>
      </w:r>
      <w:r w:rsidRPr="00516C1F">
        <w:rPr>
          <w:rFonts w:cs="Calibri"/>
          <w:lang w:val="en-GB"/>
        </w:rPr>
        <w:t>, Climate and Energy and other strategic sectors.</w:t>
      </w:r>
    </w:p>
    <w:p w14:paraId="6C77BE2C" w14:textId="5BD49E79" w:rsidR="00D768F5" w:rsidRDefault="007463EF" w:rsidP="00364F1D">
      <w:pPr>
        <w:pStyle w:val="ListParagraph"/>
        <w:numPr>
          <w:ilvl w:val="0"/>
          <w:numId w:val="12"/>
        </w:numPr>
        <w:jc w:val="both"/>
        <w:rPr>
          <w:rFonts w:cs="Calibri"/>
          <w:lang w:val="en-GB"/>
        </w:rPr>
      </w:pPr>
      <w:r w:rsidRPr="00516C1F">
        <w:rPr>
          <w:rFonts w:cs="Calibri"/>
          <w:b/>
          <w:bCs/>
          <w:lang w:val="en-GB"/>
        </w:rPr>
        <w:t>Establishing a PA7-facilitated joint funding mechanism for transnational research consortia</w:t>
      </w:r>
      <w:r w:rsidRPr="00516C1F">
        <w:rPr>
          <w:rFonts w:cs="Calibri"/>
          <w:lang w:val="en-GB"/>
        </w:rPr>
        <w:t>. To increase research participation from non-EU Danube countries and improve Horizon Europe success rates, PA7 should advocate for the creation of a joint funding mechanism dedicated to supporting transnational research collaborations. This mechanism should include seed funding programs to assist research teams in preparing competitive Horizon Europe project applications, as well as capacity-building grants to enhance research engagement from less-integrated regions. By providing targeted financial support, this initiative would enable institutions in low-performing countries to increase their participation in European research collaborations and strengthen cross-border innovation partnerships.</w:t>
      </w:r>
    </w:p>
    <w:p w14:paraId="75FEACBB" w14:textId="77777777" w:rsidR="00907D3B" w:rsidRDefault="00907D3B" w:rsidP="00907D3B">
      <w:pPr>
        <w:pStyle w:val="ListParagraph"/>
        <w:jc w:val="both"/>
        <w:rPr>
          <w:rFonts w:cs="Calibri"/>
          <w:b/>
          <w:bCs/>
          <w:lang w:val="en-GB"/>
        </w:rPr>
      </w:pPr>
    </w:p>
    <w:p w14:paraId="0E1BE70C" w14:textId="77777777" w:rsidR="00907D3B" w:rsidRDefault="00907D3B" w:rsidP="00907D3B">
      <w:pPr>
        <w:pStyle w:val="ListParagraph"/>
        <w:jc w:val="both"/>
        <w:rPr>
          <w:rFonts w:cs="Calibri"/>
          <w:b/>
          <w:bCs/>
          <w:lang w:val="en-GB"/>
        </w:rPr>
      </w:pPr>
    </w:p>
    <w:p w14:paraId="312D0433" w14:textId="77777777" w:rsidR="00907D3B" w:rsidRDefault="00907D3B" w:rsidP="00907D3B">
      <w:pPr>
        <w:pStyle w:val="ListParagraph"/>
        <w:jc w:val="both"/>
        <w:rPr>
          <w:rFonts w:cs="Calibri"/>
          <w:b/>
          <w:bCs/>
          <w:lang w:val="en-GB"/>
        </w:rPr>
      </w:pPr>
    </w:p>
    <w:p w14:paraId="48D796DA" w14:textId="77777777" w:rsidR="00907D3B" w:rsidRDefault="00907D3B" w:rsidP="00907D3B">
      <w:pPr>
        <w:pStyle w:val="ListParagraph"/>
        <w:jc w:val="both"/>
        <w:rPr>
          <w:rFonts w:cs="Calibri"/>
          <w:b/>
          <w:bCs/>
          <w:lang w:val="en-GB"/>
        </w:rPr>
      </w:pPr>
    </w:p>
    <w:p w14:paraId="67DDED20" w14:textId="77777777" w:rsidR="00907D3B" w:rsidRDefault="00907D3B" w:rsidP="00907D3B">
      <w:pPr>
        <w:pStyle w:val="ListParagraph"/>
        <w:jc w:val="both"/>
        <w:rPr>
          <w:rFonts w:cs="Calibri"/>
          <w:b/>
          <w:bCs/>
          <w:lang w:val="en-GB"/>
        </w:rPr>
      </w:pPr>
    </w:p>
    <w:p w14:paraId="1B62F617" w14:textId="77777777" w:rsidR="00907D3B" w:rsidRDefault="00907D3B" w:rsidP="00907D3B">
      <w:pPr>
        <w:pStyle w:val="ListParagraph"/>
        <w:jc w:val="both"/>
        <w:rPr>
          <w:rFonts w:cs="Calibri"/>
          <w:lang w:val="en-GB"/>
        </w:rPr>
      </w:pPr>
    </w:p>
    <w:p w14:paraId="18B53C6B" w14:textId="77777777" w:rsidR="008B736C" w:rsidRDefault="008B736C" w:rsidP="00907D3B">
      <w:pPr>
        <w:pStyle w:val="ListParagraph"/>
        <w:jc w:val="both"/>
        <w:rPr>
          <w:rFonts w:cs="Calibri"/>
          <w:lang w:val="en-GB"/>
        </w:rPr>
      </w:pPr>
    </w:p>
    <w:p w14:paraId="3091A9ED" w14:textId="77777777" w:rsidR="008B736C" w:rsidRDefault="008B736C" w:rsidP="00907D3B">
      <w:pPr>
        <w:pStyle w:val="ListParagraph"/>
        <w:jc w:val="both"/>
        <w:rPr>
          <w:rFonts w:cs="Calibri"/>
          <w:lang w:val="en-GB"/>
        </w:rPr>
      </w:pPr>
    </w:p>
    <w:p w14:paraId="57E2CEC5" w14:textId="77777777" w:rsidR="008B736C" w:rsidRDefault="008B736C" w:rsidP="00907D3B">
      <w:pPr>
        <w:pStyle w:val="ListParagraph"/>
        <w:jc w:val="both"/>
        <w:rPr>
          <w:rFonts w:cs="Calibri"/>
          <w:lang w:val="en-GB"/>
        </w:rPr>
      </w:pPr>
    </w:p>
    <w:p w14:paraId="3FCBF517" w14:textId="77777777" w:rsidR="008B736C" w:rsidRDefault="008B736C" w:rsidP="00907D3B">
      <w:pPr>
        <w:pStyle w:val="ListParagraph"/>
        <w:jc w:val="both"/>
        <w:rPr>
          <w:rFonts w:cs="Calibri"/>
          <w:lang w:val="en-GB"/>
        </w:rPr>
      </w:pPr>
    </w:p>
    <w:p w14:paraId="4ECB0BA9" w14:textId="77777777" w:rsidR="008B736C" w:rsidRDefault="008B736C" w:rsidP="00907D3B">
      <w:pPr>
        <w:pStyle w:val="ListParagraph"/>
        <w:jc w:val="both"/>
        <w:rPr>
          <w:rFonts w:cs="Calibri"/>
          <w:lang w:val="en-GB"/>
        </w:rPr>
      </w:pPr>
    </w:p>
    <w:p w14:paraId="36B2A604" w14:textId="77777777" w:rsidR="008B736C" w:rsidRDefault="008B736C" w:rsidP="00907D3B">
      <w:pPr>
        <w:pStyle w:val="ListParagraph"/>
        <w:jc w:val="both"/>
        <w:rPr>
          <w:rFonts w:cs="Calibri"/>
          <w:lang w:val="en-GB"/>
        </w:rPr>
      </w:pPr>
    </w:p>
    <w:p w14:paraId="5D461FAE" w14:textId="77777777" w:rsidR="008B736C" w:rsidRDefault="008B736C" w:rsidP="00907D3B">
      <w:pPr>
        <w:pStyle w:val="ListParagraph"/>
        <w:jc w:val="both"/>
        <w:rPr>
          <w:rFonts w:cs="Calibri"/>
          <w:lang w:val="en-GB"/>
        </w:rPr>
      </w:pPr>
    </w:p>
    <w:p w14:paraId="1D9C803F" w14:textId="77777777" w:rsidR="008B736C" w:rsidRDefault="008B736C" w:rsidP="00907D3B">
      <w:pPr>
        <w:pStyle w:val="ListParagraph"/>
        <w:jc w:val="both"/>
        <w:rPr>
          <w:rFonts w:cs="Calibri"/>
          <w:lang w:val="en-GB"/>
        </w:rPr>
      </w:pPr>
    </w:p>
    <w:p w14:paraId="66157C09" w14:textId="77777777" w:rsidR="008B736C" w:rsidRDefault="008B736C" w:rsidP="00907D3B">
      <w:pPr>
        <w:pStyle w:val="ListParagraph"/>
        <w:jc w:val="both"/>
        <w:rPr>
          <w:rFonts w:cs="Calibri"/>
          <w:lang w:val="en-GB"/>
        </w:rPr>
      </w:pPr>
    </w:p>
    <w:p w14:paraId="630BC2E0" w14:textId="7F312EF4" w:rsidR="00F775C4" w:rsidRPr="00516C1F" w:rsidRDefault="00F775C4" w:rsidP="0062317E">
      <w:pPr>
        <w:pStyle w:val="Heading1"/>
        <w:rPr>
          <w:lang w:val="en-GB"/>
        </w:rPr>
      </w:pPr>
      <w:bookmarkStart w:id="26" w:name="_Toc208824199"/>
      <w:r w:rsidRPr="00516C1F">
        <w:rPr>
          <w:lang w:val="en-GB"/>
        </w:rPr>
        <w:t>References</w:t>
      </w:r>
      <w:bookmarkEnd w:id="26"/>
    </w:p>
    <w:p w14:paraId="53892B8F" w14:textId="3C2821FF" w:rsidR="007B53D5" w:rsidRPr="00516C1F" w:rsidRDefault="007B53D5" w:rsidP="00665F97">
      <w:pPr>
        <w:pStyle w:val="ListParagraph"/>
        <w:numPr>
          <w:ilvl w:val="0"/>
          <w:numId w:val="1"/>
        </w:numPr>
        <w:jc w:val="both"/>
        <w:rPr>
          <w:rFonts w:cs="Calibri"/>
          <w:lang w:val="en-GB"/>
        </w:rPr>
      </w:pPr>
      <w:proofErr w:type="spellStart"/>
      <w:r w:rsidRPr="00516C1F">
        <w:rPr>
          <w:rFonts w:cs="Calibri"/>
          <w:lang w:val="en-GB"/>
        </w:rPr>
        <w:t>Auanassova</w:t>
      </w:r>
      <w:proofErr w:type="spellEnd"/>
      <w:r w:rsidRPr="00516C1F">
        <w:rPr>
          <w:rFonts w:cs="Calibri"/>
          <w:lang w:val="en-GB"/>
        </w:rPr>
        <w:t>, A. (2023). International collaboration: benefits and challenges, Central Asian Journal of Medical Hypotheses and Ethics (4), 4:199-205. https://doi.org/10.47316/cajmhe.2023.4.4.02</w:t>
      </w:r>
    </w:p>
    <w:p w14:paraId="5058DC26" w14:textId="77777777" w:rsidR="007B53D5" w:rsidRPr="00516C1F" w:rsidRDefault="007B53D5" w:rsidP="00665F97">
      <w:pPr>
        <w:pStyle w:val="ListParagraph"/>
        <w:numPr>
          <w:ilvl w:val="0"/>
          <w:numId w:val="1"/>
        </w:numPr>
        <w:jc w:val="both"/>
        <w:rPr>
          <w:rFonts w:cs="Calibri"/>
          <w:lang w:val="en-GB"/>
        </w:rPr>
      </w:pPr>
      <w:r w:rsidRPr="00516C1F">
        <w:rPr>
          <w:rFonts w:cs="Calibri"/>
          <w:lang w:val="en-GB"/>
        </w:rPr>
        <w:t>Barca, F. (2009). An Agenda for a Reformed Cohesion Policy: A Place-Based Approach to Meeting EU Challenges and Expectations. European Commission.</w:t>
      </w:r>
    </w:p>
    <w:p w14:paraId="7C02776A" w14:textId="77777777" w:rsidR="007B53D5" w:rsidRPr="00516C1F" w:rsidRDefault="007B53D5" w:rsidP="00665F97">
      <w:pPr>
        <w:pStyle w:val="ListParagraph"/>
        <w:numPr>
          <w:ilvl w:val="0"/>
          <w:numId w:val="1"/>
        </w:numPr>
        <w:jc w:val="both"/>
        <w:rPr>
          <w:rFonts w:cs="Calibri"/>
          <w:lang w:val="en-GB"/>
        </w:rPr>
      </w:pPr>
      <w:r w:rsidRPr="00516C1F">
        <w:rPr>
          <w:rFonts w:cs="Calibri"/>
          <w:lang w:val="en-GB"/>
        </w:rPr>
        <w:t>European Commission. (2012). Guide to Research and Innovation Strategies for Smart Specialisations (RIS3). Retrieved from https://ec.europa.eu/jrc/en/publication/guide-research-and-innovation-strategies-smart-specialisation-ris3</w:t>
      </w:r>
    </w:p>
    <w:p w14:paraId="05AC2701" w14:textId="0F3D2FE2" w:rsidR="007B53D5" w:rsidRPr="00516C1F" w:rsidRDefault="007B53D5" w:rsidP="00665F97">
      <w:pPr>
        <w:pStyle w:val="ListParagraph"/>
        <w:numPr>
          <w:ilvl w:val="0"/>
          <w:numId w:val="1"/>
        </w:numPr>
        <w:jc w:val="both"/>
        <w:rPr>
          <w:rFonts w:cs="Calibri"/>
          <w:lang w:val="en-GB"/>
        </w:rPr>
      </w:pPr>
      <w:r w:rsidRPr="00516C1F">
        <w:rPr>
          <w:rFonts w:cs="Calibri"/>
          <w:lang w:val="en-GB"/>
        </w:rPr>
        <w:t xml:space="preserve">European Commission. (2020). The Danube Region Strategy. Retrieved from </w:t>
      </w:r>
      <w:hyperlink r:id="rId20" w:history="1">
        <w:r w:rsidR="00C5591F" w:rsidRPr="00516C1F">
          <w:rPr>
            <w:rStyle w:val="Hyperlink"/>
            <w:rFonts w:cs="Calibri"/>
            <w:lang w:val="en-GB"/>
          </w:rPr>
          <w:t>https://danube-region.eu/Kat</w:t>
        </w:r>
      </w:hyperlink>
    </w:p>
    <w:p w14:paraId="62721088" w14:textId="0FF20875" w:rsidR="00C5591F" w:rsidRPr="00516C1F" w:rsidRDefault="00C5591F" w:rsidP="00C5591F">
      <w:pPr>
        <w:pStyle w:val="ListParagraph"/>
        <w:numPr>
          <w:ilvl w:val="0"/>
          <w:numId w:val="1"/>
        </w:numPr>
        <w:jc w:val="both"/>
        <w:rPr>
          <w:rFonts w:cs="Calibri"/>
          <w:lang w:val="en-GB"/>
        </w:rPr>
      </w:pPr>
      <w:r w:rsidRPr="00516C1F">
        <w:rPr>
          <w:rFonts w:cs="Calibri"/>
          <w:lang w:val="en-GB"/>
        </w:rPr>
        <w:t xml:space="preserve">Fabbri, E., Zivkovic, L., </w:t>
      </w:r>
      <w:proofErr w:type="spellStart"/>
      <w:r w:rsidRPr="00516C1F">
        <w:rPr>
          <w:rFonts w:cs="Calibri"/>
          <w:lang w:val="en-GB"/>
        </w:rPr>
        <w:t>Strbac</w:t>
      </w:r>
      <w:proofErr w:type="spellEnd"/>
      <w:r w:rsidRPr="00516C1F">
        <w:rPr>
          <w:rFonts w:cs="Calibri"/>
          <w:lang w:val="en-GB"/>
        </w:rPr>
        <w:t>, D.</w:t>
      </w:r>
      <w:r w:rsidR="00AB07F1" w:rsidRPr="00516C1F">
        <w:rPr>
          <w:rFonts w:cs="Calibri"/>
          <w:lang w:val="en-GB"/>
        </w:rPr>
        <w:t xml:space="preserve"> and</w:t>
      </w:r>
      <w:r w:rsidRPr="00516C1F">
        <w:rPr>
          <w:rFonts w:cs="Calibri"/>
          <w:lang w:val="en-GB"/>
        </w:rPr>
        <w:t xml:space="preserve"> </w:t>
      </w:r>
      <w:proofErr w:type="spellStart"/>
      <w:r w:rsidRPr="00516C1F">
        <w:rPr>
          <w:rFonts w:cs="Calibri"/>
          <w:lang w:val="en-GB"/>
        </w:rPr>
        <w:t>Ljumovic</w:t>
      </w:r>
      <w:proofErr w:type="spellEnd"/>
      <w:r w:rsidRPr="00516C1F">
        <w:rPr>
          <w:rFonts w:cs="Calibri"/>
          <w:lang w:val="en-GB"/>
        </w:rPr>
        <w:t xml:space="preserve">, I. (2025). </w:t>
      </w:r>
      <w:r w:rsidR="0032160B" w:rsidRPr="00516C1F">
        <w:rPr>
          <w:rFonts w:cs="Calibri"/>
          <w:lang w:val="en-GB"/>
        </w:rPr>
        <w:t xml:space="preserve">Regional potential for ICT collaboration in the context of Smart Specialisation in the Western Balkans, </w:t>
      </w:r>
      <w:r w:rsidR="00AB07F1" w:rsidRPr="00516C1F">
        <w:rPr>
          <w:rFonts w:cs="Calibri"/>
          <w:lang w:val="en-GB"/>
        </w:rPr>
        <w:t>Publications Office of the European Union, Luxembourg, 2025, https://data.europa.eu/doi/10.2760/4401156, JRC140887.</w:t>
      </w:r>
    </w:p>
    <w:p w14:paraId="386110D4" w14:textId="77777777" w:rsidR="007B53D5" w:rsidRPr="00516C1F" w:rsidRDefault="007B53D5" w:rsidP="00665F97">
      <w:pPr>
        <w:pStyle w:val="ListParagraph"/>
        <w:numPr>
          <w:ilvl w:val="0"/>
          <w:numId w:val="1"/>
        </w:numPr>
        <w:jc w:val="both"/>
        <w:rPr>
          <w:rFonts w:cs="Calibri"/>
          <w:lang w:val="en-GB"/>
        </w:rPr>
      </w:pPr>
      <w:r w:rsidRPr="00516C1F">
        <w:rPr>
          <w:rFonts w:cs="Calibri"/>
          <w:lang w:val="en-GB"/>
        </w:rPr>
        <w:t>Foray, D. (2014). Smart Specialisation: Opportunities and Challenges for Regional Innovation Policy. Routledge.</w:t>
      </w:r>
    </w:p>
    <w:p w14:paraId="7ECF6915" w14:textId="77777777" w:rsidR="007B53D5" w:rsidRPr="00516C1F" w:rsidRDefault="007B53D5" w:rsidP="00665F97">
      <w:pPr>
        <w:pStyle w:val="ListParagraph"/>
        <w:numPr>
          <w:ilvl w:val="0"/>
          <w:numId w:val="1"/>
        </w:numPr>
        <w:jc w:val="both"/>
        <w:rPr>
          <w:rFonts w:cs="Calibri"/>
          <w:lang w:val="en-GB"/>
        </w:rPr>
      </w:pPr>
      <w:r w:rsidRPr="00516C1F">
        <w:rPr>
          <w:rFonts w:cs="Calibri"/>
          <w:lang w:val="en-GB"/>
        </w:rPr>
        <w:t>Foray, D., David, P. A., &amp; Hall, B. H. (2009). Smart Specialisation: The Concept. Knowledge for Growth: Prospects for Science, Technology and Innovation.</w:t>
      </w:r>
    </w:p>
    <w:p w14:paraId="75FF4330" w14:textId="77777777" w:rsidR="007B53D5" w:rsidRPr="00516C1F" w:rsidRDefault="007B53D5" w:rsidP="00665F97">
      <w:pPr>
        <w:pStyle w:val="ListParagraph"/>
        <w:numPr>
          <w:ilvl w:val="0"/>
          <w:numId w:val="1"/>
        </w:numPr>
        <w:jc w:val="both"/>
        <w:rPr>
          <w:rFonts w:cs="Calibri"/>
          <w:lang w:val="en-GB"/>
        </w:rPr>
      </w:pPr>
      <w:r w:rsidRPr="00516C1F">
        <w:rPr>
          <w:rFonts w:cs="Calibri"/>
          <w:lang w:val="en-GB"/>
        </w:rPr>
        <w:t>Katz, J. S., &amp; Martin, B. R. (1997). What is research collaboration? Research Policy, 26(1), 1-18.</w:t>
      </w:r>
    </w:p>
    <w:p w14:paraId="5CC16C51" w14:textId="77777777" w:rsidR="007B53D5" w:rsidRPr="00516C1F" w:rsidRDefault="007B53D5" w:rsidP="00665F97">
      <w:pPr>
        <w:pStyle w:val="ListParagraph"/>
        <w:numPr>
          <w:ilvl w:val="0"/>
          <w:numId w:val="1"/>
        </w:numPr>
        <w:jc w:val="both"/>
        <w:rPr>
          <w:rFonts w:cs="Calibri"/>
          <w:lang w:val="en-GB"/>
        </w:rPr>
      </w:pPr>
      <w:r w:rsidRPr="00516C1F">
        <w:rPr>
          <w:rFonts w:cs="Calibri"/>
          <w:lang w:val="en-GB"/>
        </w:rPr>
        <w:t>McCann, P., &amp; Ortega-</w:t>
      </w:r>
      <w:proofErr w:type="spellStart"/>
      <w:r w:rsidRPr="00516C1F">
        <w:rPr>
          <w:rFonts w:cs="Calibri"/>
          <w:lang w:val="en-GB"/>
        </w:rPr>
        <w:t>Argilés</w:t>
      </w:r>
      <w:proofErr w:type="spellEnd"/>
      <w:r w:rsidRPr="00516C1F">
        <w:rPr>
          <w:rFonts w:cs="Calibri"/>
          <w:lang w:val="en-GB"/>
        </w:rPr>
        <w:t>, R. (2013). Modern Regional Innovation Policy. Cambridge Journal of Regions, Economy and Society, 6(2), 187-216.</w:t>
      </w:r>
    </w:p>
    <w:p w14:paraId="03653E37" w14:textId="77777777" w:rsidR="007B53D5" w:rsidRPr="00516C1F" w:rsidRDefault="007B53D5" w:rsidP="00665F97">
      <w:pPr>
        <w:pStyle w:val="ListParagraph"/>
        <w:numPr>
          <w:ilvl w:val="0"/>
          <w:numId w:val="1"/>
        </w:numPr>
        <w:jc w:val="both"/>
        <w:rPr>
          <w:rFonts w:cs="Calibri"/>
          <w:lang w:val="en-GB"/>
        </w:rPr>
      </w:pPr>
      <w:r w:rsidRPr="00516C1F">
        <w:rPr>
          <w:rFonts w:cs="Calibri"/>
          <w:lang w:val="en-GB"/>
        </w:rPr>
        <w:t>OECD. (2018). International Collaboration in Science, Technology, and Innovation: Strategies for Effective Partnerships. OECD Publishing.</w:t>
      </w:r>
    </w:p>
    <w:p w14:paraId="5E106ED7" w14:textId="77777777" w:rsidR="007B53D5" w:rsidRPr="00516C1F" w:rsidRDefault="007B53D5" w:rsidP="00665F97">
      <w:pPr>
        <w:pStyle w:val="ListParagraph"/>
        <w:numPr>
          <w:ilvl w:val="0"/>
          <w:numId w:val="1"/>
        </w:numPr>
        <w:jc w:val="both"/>
        <w:rPr>
          <w:rFonts w:cs="Calibri"/>
          <w:lang w:val="en-GB"/>
        </w:rPr>
      </w:pPr>
      <w:r w:rsidRPr="00516C1F">
        <w:rPr>
          <w:rFonts w:cs="Calibri"/>
          <w:lang w:val="en-GB"/>
        </w:rPr>
        <w:t>Radosevic, S. 2018. Assessing EU smart specialization policy in a comparative perspective. In R. Capello &amp; T. K. Crescenzi (Eds.), Handbook of Regional Growth and Development Theories (pp. 454-474). Edward Elgar Publishing.</w:t>
      </w:r>
    </w:p>
    <w:p w14:paraId="4C169FA3" w14:textId="7BE5DF6D" w:rsidR="006B2070" w:rsidRPr="00516C1F" w:rsidRDefault="00D452C0" w:rsidP="00D452C0">
      <w:pPr>
        <w:pStyle w:val="ListParagraph"/>
        <w:numPr>
          <w:ilvl w:val="0"/>
          <w:numId w:val="1"/>
        </w:numPr>
        <w:jc w:val="both"/>
        <w:rPr>
          <w:rFonts w:cs="Calibri"/>
          <w:lang w:val="en-GB"/>
        </w:rPr>
      </w:pPr>
      <w:r w:rsidRPr="00516C1F">
        <w:rPr>
          <w:rFonts w:cs="Calibri"/>
          <w:lang w:val="en-GB"/>
        </w:rPr>
        <w:t>Radovanovic, N. and Benner, M. (2019). Smart Specialisation and the Wider Innovation Policy Context in the Western Balkans, EUR 29918 EN, Publications Office of the European Union, Luxembourg, 2019, ISBN 978-92-76-12550-1, doi:10.2760/380898, JRC118199.</w:t>
      </w:r>
    </w:p>
    <w:p w14:paraId="3779040D" w14:textId="228EDDA0" w:rsidR="007B53D5" w:rsidRPr="00516C1F" w:rsidRDefault="007B53D5" w:rsidP="00665F97">
      <w:pPr>
        <w:pStyle w:val="ListParagraph"/>
        <w:numPr>
          <w:ilvl w:val="0"/>
          <w:numId w:val="1"/>
        </w:numPr>
        <w:jc w:val="both"/>
        <w:rPr>
          <w:rFonts w:cs="Calibri"/>
          <w:lang w:val="en-GB"/>
        </w:rPr>
      </w:pPr>
      <w:r w:rsidRPr="00516C1F">
        <w:rPr>
          <w:rFonts w:cs="Calibri"/>
          <w:lang w:val="en-GB"/>
        </w:rPr>
        <w:t>Radovanovic, N.</w:t>
      </w:r>
      <w:r w:rsidR="006B6602" w:rsidRPr="00516C1F">
        <w:rPr>
          <w:rFonts w:cs="Calibri"/>
          <w:lang w:val="en-GB"/>
        </w:rPr>
        <w:t xml:space="preserve"> and Bole, D</w:t>
      </w:r>
      <w:r w:rsidRPr="00516C1F">
        <w:rPr>
          <w:rFonts w:cs="Calibri"/>
          <w:lang w:val="en-GB"/>
        </w:rPr>
        <w:t xml:space="preserve">. (2024). </w:t>
      </w:r>
      <w:r w:rsidR="00C72E2B" w:rsidRPr="00516C1F">
        <w:rPr>
          <w:rFonts w:cs="Calibri"/>
          <w:lang w:val="en-GB"/>
        </w:rPr>
        <w:t>Smart Specialisation in the Western Balkans and Türkiye – Lessons learned</w:t>
      </w:r>
      <w:r w:rsidRPr="00516C1F">
        <w:rPr>
          <w:rFonts w:cs="Calibri"/>
          <w:lang w:val="en-GB"/>
        </w:rPr>
        <w:t xml:space="preserve">. </w:t>
      </w:r>
      <w:r w:rsidR="006B6602" w:rsidRPr="00516C1F">
        <w:rPr>
          <w:rFonts w:cs="Calibri"/>
          <w:lang w:val="en-GB"/>
        </w:rPr>
        <w:t>Publications Office of the European Union, Luxembourg, 2024, doi:10.2760/812189, JRC136309</w:t>
      </w:r>
      <w:r w:rsidRPr="00516C1F">
        <w:rPr>
          <w:rFonts w:cs="Calibri"/>
          <w:lang w:val="en-GB"/>
        </w:rPr>
        <w:t>.</w:t>
      </w:r>
    </w:p>
    <w:p w14:paraId="7E19B41F" w14:textId="03143ADB" w:rsidR="00495A21" w:rsidRPr="00516C1F" w:rsidRDefault="00495A21" w:rsidP="00665F97">
      <w:pPr>
        <w:pStyle w:val="ListParagraph"/>
        <w:numPr>
          <w:ilvl w:val="0"/>
          <w:numId w:val="1"/>
        </w:numPr>
        <w:jc w:val="both"/>
        <w:rPr>
          <w:rFonts w:cs="Calibri"/>
          <w:lang w:val="en-GB"/>
        </w:rPr>
      </w:pPr>
      <w:r w:rsidRPr="00516C1F">
        <w:rPr>
          <w:rFonts w:cs="Calibri"/>
          <w:lang w:val="en-GB"/>
        </w:rPr>
        <w:t xml:space="preserve">Wasserman, S., Faust, K. </w:t>
      </w:r>
      <w:r w:rsidR="00C41F68" w:rsidRPr="00516C1F">
        <w:rPr>
          <w:rFonts w:cs="Calibri"/>
          <w:lang w:val="en-GB"/>
        </w:rPr>
        <w:t>(</w:t>
      </w:r>
      <w:r w:rsidRPr="00516C1F">
        <w:rPr>
          <w:rFonts w:cs="Calibri"/>
          <w:lang w:val="en-GB"/>
        </w:rPr>
        <w:t>1994</w:t>
      </w:r>
      <w:r w:rsidR="00C41F68" w:rsidRPr="00516C1F">
        <w:rPr>
          <w:rFonts w:cs="Calibri"/>
          <w:lang w:val="en-GB"/>
        </w:rPr>
        <w:t>)</w:t>
      </w:r>
      <w:r w:rsidRPr="00516C1F">
        <w:rPr>
          <w:rFonts w:cs="Calibri"/>
          <w:lang w:val="en-GB"/>
        </w:rPr>
        <w:t>. Social network analysis: Methods and Applications. Cambridge: Cambridge University Press.</w:t>
      </w:r>
    </w:p>
    <w:p w14:paraId="389D2750" w14:textId="77777777" w:rsidR="007B53D5" w:rsidRPr="00516C1F" w:rsidRDefault="007B53D5" w:rsidP="00665F97">
      <w:pPr>
        <w:pStyle w:val="ListParagraph"/>
        <w:numPr>
          <w:ilvl w:val="0"/>
          <w:numId w:val="1"/>
        </w:numPr>
        <w:jc w:val="both"/>
        <w:rPr>
          <w:rFonts w:cs="Calibri"/>
          <w:lang w:val="en-GB"/>
        </w:rPr>
      </w:pPr>
      <w:r w:rsidRPr="00516C1F">
        <w:rPr>
          <w:rFonts w:cs="Calibri"/>
          <w:lang w:val="en-GB"/>
        </w:rPr>
        <w:t xml:space="preserve">Woolford, J., </w:t>
      </w:r>
      <w:proofErr w:type="spellStart"/>
      <w:r w:rsidRPr="00516C1F">
        <w:rPr>
          <w:rFonts w:cs="Calibri"/>
          <w:lang w:val="en-GB"/>
        </w:rPr>
        <w:t>Amanatidou</w:t>
      </w:r>
      <w:proofErr w:type="spellEnd"/>
      <w:r w:rsidRPr="00516C1F">
        <w:rPr>
          <w:rFonts w:cs="Calibri"/>
          <w:lang w:val="en-GB"/>
        </w:rPr>
        <w:t xml:space="preserve">, E., </w:t>
      </w:r>
      <w:proofErr w:type="spellStart"/>
      <w:r w:rsidRPr="00516C1F">
        <w:rPr>
          <w:rFonts w:cs="Calibri"/>
          <w:lang w:val="en-GB"/>
        </w:rPr>
        <w:t>Gerussi</w:t>
      </w:r>
      <w:proofErr w:type="spellEnd"/>
      <w:r w:rsidRPr="00516C1F">
        <w:rPr>
          <w:rFonts w:cs="Calibri"/>
          <w:lang w:val="en-GB"/>
        </w:rPr>
        <w:t xml:space="preserve">, E., Boden, J. M. 2021. Interregional Cooperation and Smart Specialisation: </w:t>
      </w:r>
      <w:proofErr w:type="gramStart"/>
      <w:r w:rsidRPr="00516C1F">
        <w:rPr>
          <w:rFonts w:cs="Calibri"/>
          <w:lang w:val="en-GB"/>
        </w:rPr>
        <w:t>a</w:t>
      </w:r>
      <w:proofErr w:type="gramEnd"/>
      <w:r w:rsidRPr="00516C1F">
        <w:rPr>
          <w:rFonts w:cs="Calibri"/>
          <w:lang w:val="en-GB"/>
        </w:rPr>
        <w:t xml:space="preserve"> Lagging Regions Perspective, EUR 30691 EN, Publications Office of the European Union, Luxembourg, doi:10.2760/25586, JRC124118.</w:t>
      </w:r>
    </w:p>
    <w:p w14:paraId="47F6F191" w14:textId="476F112B" w:rsidR="00467772" w:rsidRPr="00516C1F" w:rsidRDefault="00467772" w:rsidP="003C6775">
      <w:pPr>
        <w:jc w:val="both"/>
        <w:rPr>
          <w:rFonts w:cs="Calibri"/>
          <w:lang w:val="en-GB"/>
        </w:rPr>
      </w:pPr>
    </w:p>
    <w:p w14:paraId="21AB3D53" w14:textId="77777777" w:rsidR="003C6775" w:rsidRPr="00516C1F" w:rsidRDefault="003C6775" w:rsidP="003C6775">
      <w:pPr>
        <w:rPr>
          <w:rFonts w:cs="Calibri"/>
          <w:lang w:val="en-GB"/>
        </w:rPr>
      </w:pPr>
    </w:p>
    <w:p w14:paraId="0759F8D2" w14:textId="24FC99E7" w:rsidR="003C6775" w:rsidRPr="00516C1F" w:rsidRDefault="003C6775" w:rsidP="003C6775">
      <w:pPr>
        <w:jc w:val="both"/>
        <w:rPr>
          <w:rFonts w:cs="Calibri"/>
          <w:lang w:val="en-GB"/>
        </w:rPr>
      </w:pPr>
    </w:p>
    <w:p w14:paraId="33CB5D58" w14:textId="257A5ED5" w:rsidR="00866F44" w:rsidRPr="00516C1F" w:rsidRDefault="00866F44" w:rsidP="0048787E">
      <w:pPr>
        <w:spacing w:after="0"/>
        <w:rPr>
          <w:rFonts w:cs="Calibri"/>
          <w:lang w:val="en-GB"/>
        </w:rPr>
      </w:pPr>
    </w:p>
    <w:sectPr w:rsidR="00866F44" w:rsidRPr="00516C1F" w:rsidSect="00981265">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4A27A" w14:textId="77777777" w:rsidR="00491BDA" w:rsidRDefault="00491BDA" w:rsidP="00981265">
      <w:pPr>
        <w:spacing w:after="0" w:line="240" w:lineRule="auto"/>
      </w:pPr>
      <w:r>
        <w:separator/>
      </w:r>
    </w:p>
  </w:endnote>
  <w:endnote w:type="continuationSeparator" w:id="0">
    <w:p w14:paraId="708DE1CE" w14:textId="77777777" w:rsidR="00491BDA" w:rsidRDefault="00491BDA" w:rsidP="009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660371"/>
      <w:docPartObj>
        <w:docPartGallery w:val="Page Numbers (Bottom of Page)"/>
        <w:docPartUnique/>
      </w:docPartObj>
    </w:sdtPr>
    <w:sdtEndPr>
      <w:rPr>
        <w:noProof/>
      </w:rPr>
    </w:sdtEndPr>
    <w:sdtContent>
      <w:p w14:paraId="6B7D7059" w14:textId="0E7E3E76" w:rsidR="00981265" w:rsidRDefault="009812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77BDF4" w14:textId="77777777" w:rsidR="00981265" w:rsidRDefault="00981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B5989" w14:textId="77777777" w:rsidR="00491BDA" w:rsidRDefault="00491BDA" w:rsidP="00981265">
      <w:pPr>
        <w:spacing w:after="0" w:line="240" w:lineRule="auto"/>
      </w:pPr>
      <w:r>
        <w:separator/>
      </w:r>
    </w:p>
  </w:footnote>
  <w:footnote w:type="continuationSeparator" w:id="0">
    <w:p w14:paraId="7D9BAC97" w14:textId="77777777" w:rsidR="00491BDA" w:rsidRDefault="00491BDA" w:rsidP="00981265">
      <w:pPr>
        <w:spacing w:after="0" w:line="240" w:lineRule="auto"/>
      </w:pPr>
      <w:r>
        <w:continuationSeparator/>
      </w:r>
    </w:p>
  </w:footnote>
  <w:footnote w:id="1">
    <w:p w14:paraId="7C6CA6CD" w14:textId="103CB211" w:rsidR="00390114" w:rsidRPr="00390114" w:rsidRDefault="00390114">
      <w:pPr>
        <w:pStyle w:val="FootnoteText"/>
        <w:rPr>
          <w:rFonts w:ascii="Calibri" w:hAnsi="Calibri" w:cs="Calibri"/>
          <w:lang w:val="en-US"/>
        </w:rPr>
      </w:pPr>
      <w:r w:rsidRPr="00390114">
        <w:rPr>
          <w:rStyle w:val="FootnoteReference"/>
          <w:rFonts w:ascii="Calibri" w:hAnsi="Calibri" w:cs="Calibri"/>
        </w:rPr>
        <w:footnoteRef/>
      </w:r>
      <w:r w:rsidRPr="00390114">
        <w:rPr>
          <w:rFonts w:ascii="Calibri" w:hAnsi="Calibri" w:cs="Calibri"/>
        </w:rPr>
        <w:t xml:space="preserve"> https://cordis.europa.eu/projects</w:t>
      </w:r>
    </w:p>
  </w:footnote>
  <w:footnote w:id="2">
    <w:p w14:paraId="5BFB8B1E" w14:textId="6B0B92CE" w:rsidR="00AC10FB" w:rsidRPr="00AC10FB" w:rsidRDefault="00AC10FB">
      <w:pPr>
        <w:pStyle w:val="FootnoteText"/>
        <w:rPr>
          <w:lang w:val="en-US"/>
        </w:rPr>
      </w:pPr>
      <w:r>
        <w:rPr>
          <w:rStyle w:val="FootnoteReference"/>
        </w:rPr>
        <w:footnoteRef/>
      </w:r>
      <w:r>
        <w:t xml:space="preserve"> </w:t>
      </w:r>
      <w:hyperlink r:id="rId1" w:history="1">
        <w:r w:rsidRPr="00AC10FB">
          <w:rPr>
            <w:rStyle w:val="Hyperlink"/>
            <w:rFonts w:ascii="Calibri" w:hAnsi="Calibri" w:cs="Calibri"/>
            <w:color w:val="auto"/>
          </w:rPr>
          <w:t>http://mrvar.fdv.uni-lj.si/pajek/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2DA8"/>
    <w:multiLevelType w:val="hybridMultilevel"/>
    <w:tmpl w:val="A792161A"/>
    <w:lvl w:ilvl="0" w:tplc="FFFFFFFF">
      <w:start w:val="1"/>
      <w:numFmt w:val="decimal"/>
      <w:lvlText w:val="%1."/>
      <w:lvlJc w:val="left"/>
      <w:pPr>
        <w:ind w:left="720" w:hanging="360"/>
      </w:p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647A11"/>
    <w:multiLevelType w:val="hybridMultilevel"/>
    <w:tmpl w:val="6C8CA0E2"/>
    <w:lvl w:ilvl="0" w:tplc="16ECBE0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46200"/>
    <w:multiLevelType w:val="hybridMultilevel"/>
    <w:tmpl w:val="BDDADBF6"/>
    <w:lvl w:ilvl="0" w:tplc="0A7ED252">
      <w:start w:val="1"/>
      <w:numFmt w:val="decimal"/>
      <w:lvlText w:val="%1."/>
      <w:lvlJc w:val="left"/>
      <w:pPr>
        <w:ind w:left="1020" w:hanging="360"/>
      </w:pPr>
    </w:lvl>
    <w:lvl w:ilvl="1" w:tplc="380473F8">
      <w:start w:val="1"/>
      <w:numFmt w:val="decimal"/>
      <w:lvlText w:val="%2."/>
      <w:lvlJc w:val="left"/>
      <w:pPr>
        <w:ind w:left="1020" w:hanging="360"/>
      </w:pPr>
    </w:lvl>
    <w:lvl w:ilvl="2" w:tplc="91BC82EC">
      <w:start w:val="1"/>
      <w:numFmt w:val="decimal"/>
      <w:lvlText w:val="%3."/>
      <w:lvlJc w:val="left"/>
      <w:pPr>
        <w:ind w:left="1020" w:hanging="360"/>
      </w:pPr>
    </w:lvl>
    <w:lvl w:ilvl="3" w:tplc="4036C708">
      <w:start w:val="1"/>
      <w:numFmt w:val="decimal"/>
      <w:lvlText w:val="%4."/>
      <w:lvlJc w:val="left"/>
      <w:pPr>
        <w:ind w:left="1020" w:hanging="360"/>
      </w:pPr>
    </w:lvl>
    <w:lvl w:ilvl="4" w:tplc="1DA6F29E">
      <w:start w:val="1"/>
      <w:numFmt w:val="decimal"/>
      <w:lvlText w:val="%5."/>
      <w:lvlJc w:val="left"/>
      <w:pPr>
        <w:ind w:left="1020" w:hanging="360"/>
      </w:pPr>
    </w:lvl>
    <w:lvl w:ilvl="5" w:tplc="2A1E19C6">
      <w:start w:val="1"/>
      <w:numFmt w:val="decimal"/>
      <w:lvlText w:val="%6."/>
      <w:lvlJc w:val="left"/>
      <w:pPr>
        <w:ind w:left="1020" w:hanging="360"/>
      </w:pPr>
    </w:lvl>
    <w:lvl w:ilvl="6" w:tplc="0CA45D08">
      <w:start w:val="1"/>
      <w:numFmt w:val="decimal"/>
      <w:lvlText w:val="%7."/>
      <w:lvlJc w:val="left"/>
      <w:pPr>
        <w:ind w:left="1020" w:hanging="360"/>
      </w:pPr>
    </w:lvl>
    <w:lvl w:ilvl="7" w:tplc="764003A4">
      <w:start w:val="1"/>
      <w:numFmt w:val="decimal"/>
      <w:lvlText w:val="%8."/>
      <w:lvlJc w:val="left"/>
      <w:pPr>
        <w:ind w:left="1020" w:hanging="360"/>
      </w:pPr>
    </w:lvl>
    <w:lvl w:ilvl="8" w:tplc="01DE1C46">
      <w:start w:val="1"/>
      <w:numFmt w:val="decimal"/>
      <w:lvlText w:val="%9."/>
      <w:lvlJc w:val="left"/>
      <w:pPr>
        <w:ind w:left="1020" w:hanging="360"/>
      </w:pPr>
    </w:lvl>
  </w:abstractNum>
  <w:abstractNum w:abstractNumId="3" w15:restartNumberingAfterBreak="0">
    <w:nsid w:val="17252CD7"/>
    <w:multiLevelType w:val="hybridMultilevel"/>
    <w:tmpl w:val="CD9C7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FD5516"/>
    <w:multiLevelType w:val="hybridMultilevel"/>
    <w:tmpl w:val="02F85B6A"/>
    <w:lvl w:ilvl="0" w:tplc="7EA4FCB2">
      <w:start w:val="1"/>
      <w:numFmt w:val="decimal"/>
      <w:lvlText w:val="%1."/>
      <w:lvlJc w:val="left"/>
      <w:pPr>
        <w:ind w:left="1020" w:hanging="360"/>
      </w:pPr>
    </w:lvl>
    <w:lvl w:ilvl="1" w:tplc="C47EC550">
      <w:start w:val="1"/>
      <w:numFmt w:val="decimal"/>
      <w:lvlText w:val="%2."/>
      <w:lvlJc w:val="left"/>
      <w:pPr>
        <w:ind w:left="1020" w:hanging="360"/>
      </w:pPr>
    </w:lvl>
    <w:lvl w:ilvl="2" w:tplc="304AD4B6">
      <w:start w:val="1"/>
      <w:numFmt w:val="decimal"/>
      <w:lvlText w:val="%3."/>
      <w:lvlJc w:val="left"/>
      <w:pPr>
        <w:ind w:left="1020" w:hanging="360"/>
      </w:pPr>
    </w:lvl>
    <w:lvl w:ilvl="3" w:tplc="C77A0F64">
      <w:start w:val="1"/>
      <w:numFmt w:val="decimal"/>
      <w:lvlText w:val="%4."/>
      <w:lvlJc w:val="left"/>
      <w:pPr>
        <w:ind w:left="1020" w:hanging="360"/>
      </w:pPr>
    </w:lvl>
    <w:lvl w:ilvl="4" w:tplc="D444BAFA">
      <w:start w:val="1"/>
      <w:numFmt w:val="decimal"/>
      <w:lvlText w:val="%5."/>
      <w:lvlJc w:val="left"/>
      <w:pPr>
        <w:ind w:left="1020" w:hanging="360"/>
      </w:pPr>
    </w:lvl>
    <w:lvl w:ilvl="5" w:tplc="B914B350">
      <w:start w:val="1"/>
      <w:numFmt w:val="decimal"/>
      <w:lvlText w:val="%6."/>
      <w:lvlJc w:val="left"/>
      <w:pPr>
        <w:ind w:left="1020" w:hanging="360"/>
      </w:pPr>
    </w:lvl>
    <w:lvl w:ilvl="6" w:tplc="9500A010">
      <w:start w:val="1"/>
      <w:numFmt w:val="decimal"/>
      <w:lvlText w:val="%7."/>
      <w:lvlJc w:val="left"/>
      <w:pPr>
        <w:ind w:left="1020" w:hanging="360"/>
      </w:pPr>
    </w:lvl>
    <w:lvl w:ilvl="7" w:tplc="2B12C466">
      <w:start w:val="1"/>
      <w:numFmt w:val="decimal"/>
      <w:lvlText w:val="%8."/>
      <w:lvlJc w:val="left"/>
      <w:pPr>
        <w:ind w:left="1020" w:hanging="360"/>
      </w:pPr>
    </w:lvl>
    <w:lvl w:ilvl="8" w:tplc="0C1E613E">
      <w:start w:val="1"/>
      <w:numFmt w:val="decimal"/>
      <w:lvlText w:val="%9."/>
      <w:lvlJc w:val="left"/>
      <w:pPr>
        <w:ind w:left="1020" w:hanging="360"/>
      </w:pPr>
    </w:lvl>
  </w:abstractNum>
  <w:abstractNum w:abstractNumId="5" w15:restartNumberingAfterBreak="0">
    <w:nsid w:val="333F28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85977B0"/>
    <w:multiLevelType w:val="hybridMultilevel"/>
    <w:tmpl w:val="F7063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763A54"/>
    <w:multiLevelType w:val="hybridMultilevel"/>
    <w:tmpl w:val="C3CC0860"/>
    <w:lvl w:ilvl="0" w:tplc="16ECBE0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20480"/>
    <w:multiLevelType w:val="hybridMultilevel"/>
    <w:tmpl w:val="0FFC8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3070331"/>
    <w:multiLevelType w:val="hybridMultilevel"/>
    <w:tmpl w:val="2110AECE"/>
    <w:lvl w:ilvl="0" w:tplc="16ECBE0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8402EB"/>
    <w:multiLevelType w:val="multilevel"/>
    <w:tmpl w:val="71BA8D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C390F57"/>
    <w:multiLevelType w:val="multilevel"/>
    <w:tmpl w:val="842C2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E65999"/>
    <w:multiLevelType w:val="hybridMultilevel"/>
    <w:tmpl w:val="A792161A"/>
    <w:lvl w:ilvl="0" w:tplc="FFFFFFFF">
      <w:start w:val="1"/>
      <w:numFmt w:val="decimal"/>
      <w:lvlText w:val="%1."/>
      <w:lvlJc w:val="left"/>
      <w:pPr>
        <w:ind w:left="360" w:hanging="360"/>
      </w:pPr>
    </w:lvl>
    <w:lvl w:ilvl="1" w:tplc="FFFFFFFF">
      <w:start w:val="1"/>
      <w:numFmt w:val="lowerLetter"/>
      <w:lvlText w:val="%2."/>
      <w:lvlJc w:val="left"/>
      <w:pPr>
        <w:ind w:left="1134"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72573402"/>
    <w:multiLevelType w:val="hybridMultilevel"/>
    <w:tmpl w:val="1ADA9A38"/>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7827542F"/>
    <w:multiLevelType w:val="multilevel"/>
    <w:tmpl w:val="71BA8D3E"/>
    <w:styleLink w:val="CurrentList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8EB3247"/>
    <w:multiLevelType w:val="hybridMultilevel"/>
    <w:tmpl w:val="20AC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2035746">
    <w:abstractNumId w:val="15"/>
  </w:num>
  <w:num w:numId="2" w16cid:durableId="1475484374">
    <w:abstractNumId w:val="5"/>
  </w:num>
  <w:num w:numId="3" w16cid:durableId="2057463375">
    <w:abstractNumId w:val="12"/>
  </w:num>
  <w:num w:numId="4" w16cid:durableId="1266770957">
    <w:abstractNumId w:val="0"/>
  </w:num>
  <w:num w:numId="5" w16cid:durableId="1121925160">
    <w:abstractNumId w:val="3"/>
  </w:num>
  <w:num w:numId="6" w16cid:durableId="633098361">
    <w:abstractNumId w:val="1"/>
  </w:num>
  <w:num w:numId="7" w16cid:durableId="1678578496">
    <w:abstractNumId w:val="7"/>
  </w:num>
  <w:num w:numId="8" w16cid:durableId="340397325">
    <w:abstractNumId w:val="9"/>
  </w:num>
  <w:num w:numId="9" w16cid:durableId="1281691499">
    <w:abstractNumId w:val="6"/>
  </w:num>
  <w:num w:numId="10" w16cid:durableId="803542462">
    <w:abstractNumId w:val="8"/>
  </w:num>
  <w:num w:numId="11" w16cid:durableId="1959096764">
    <w:abstractNumId w:val="13"/>
  </w:num>
  <w:num w:numId="12" w16cid:durableId="682902099">
    <w:abstractNumId w:val="10"/>
  </w:num>
  <w:num w:numId="13" w16cid:durableId="1461801416">
    <w:abstractNumId w:val="11"/>
  </w:num>
  <w:num w:numId="14" w16cid:durableId="1439447685">
    <w:abstractNumId w:val="14"/>
  </w:num>
  <w:num w:numId="15" w16cid:durableId="1983382046">
    <w:abstractNumId w:val="2"/>
  </w:num>
  <w:num w:numId="16" w16cid:durableId="10226509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09"/>
    <w:rsid w:val="0000191D"/>
    <w:rsid w:val="00001ADB"/>
    <w:rsid w:val="00005175"/>
    <w:rsid w:val="0000559B"/>
    <w:rsid w:val="000076EA"/>
    <w:rsid w:val="00011A83"/>
    <w:rsid w:val="000128E4"/>
    <w:rsid w:val="00012BBF"/>
    <w:rsid w:val="000134D5"/>
    <w:rsid w:val="00014AED"/>
    <w:rsid w:val="000163FA"/>
    <w:rsid w:val="000212E6"/>
    <w:rsid w:val="0002131D"/>
    <w:rsid w:val="00024C5F"/>
    <w:rsid w:val="000257C2"/>
    <w:rsid w:val="00026D55"/>
    <w:rsid w:val="00027C7A"/>
    <w:rsid w:val="00030F23"/>
    <w:rsid w:val="00031F4D"/>
    <w:rsid w:val="0004120F"/>
    <w:rsid w:val="00042163"/>
    <w:rsid w:val="0005147B"/>
    <w:rsid w:val="00060088"/>
    <w:rsid w:val="00060264"/>
    <w:rsid w:val="00065C8D"/>
    <w:rsid w:val="00067F23"/>
    <w:rsid w:val="0007174B"/>
    <w:rsid w:val="000746F3"/>
    <w:rsid w:val="00087B67"/>
    <w:rsid w:val="00092A1F"/>
    <w:rsid w:val="000937CD"/>
    <w:rsid w:val="00094841"/>
    <w:rsid w:val="000A1870"/>
    <w:rsid w:val="000A19C5"/>
    <w:rsid w:val="000A22B6"/>
    <w:rsid w:val="000A49EE"/>
    <w:rsid w:val="000A5286"/>
    <w:rsid w:val="000A5AEE"/>
    <w:rsid w:val="000B0E79"/>
    <w:rsid w:val="000B1AC5"/>
    <w:rsid w:val="000B4AA1"/>
    <w:rsid w:val="000B629D"/>
    <w:rsid w:val="000B70AB"/>
    <w:rsid w:val="000C173B"/>
    <w:rsid w:val="000D0B18"/>
    <w:rsid w:val="000D6933"/>
    <w:rsid w:val="000D6F47"/>
    <w:rsid w:val="000E11FF"/>
    <w:rsid w:val="000E15B6"/>
    <w:rsid w:val="000E346B"/>
    <w:rsid w:val="000E673F"/>
    <w:rsid w:val="000F1EC0"/>
    <w:rsid w:val="000F2079"/>
    <w:rsid w:val="000F58CC"/>
    <w:rsid w:val="000F73EB"/>
    <w:rsid w:val="00102EE7"/>
    <w:rsid w:val="001042F2"/>
    <w:rsid w:val="00105F20"/>
    <w:rsid w:val="00107EA5"/>
    <w:rsid w:val="00111DDF"/>
    <w:rsid w:val="001128B2"/>
    <w:rsid w:val="001216F7"/>
    <w:rsid w:val="00127460"/>
    <w:rsid w:val="00131921"/>
    <w:rsid w:val="00133897"/>
    <w:rsid w:val="00135F9F"/>
    <w:rsid w:val="0013631F"/>
    <w:rsid w:val="00140406"/>
    <w:rsid w:val="001404AF"/>
    <w:rsid w:val="001406E3"/>
    <w:rsid w:val="00142876"/>
    <w:rsid w:val="00145E7E"/>
    <w:rsid w:val="00151944"/>
    <w:rsid w:val="00152853"/>
    <w:rsid w:val="001534BF"/>
    <w:rsid w:val="00161EAD"/>
    <w:rsid w:val="00162704"/>
    <w:rsid w:val="00164136"/>
    <w:rsid w:val="00167866"/>
    <w:rsid w:val="00170FB6"/>
    <w:rsid w:val="00171F61"/>
    <w:rsid w:val="0017615D"/>
    <w:rsid w:val="0017713B"/>
    <w:rsid w:val="001804B9"/>
    <w:rsid w:val="0018079F"/>
    <w:rsid w:val="00183CD1"/>
    <w:rsid w:val="00184371"/>
    <w:rsid w:val="00185CAE"/>
    <w:rsid w:val="0019063B"/>
    <w:rsid w:val="0019225F"/>
    <w:rsid w:val="001A306C"/>
    <w:rsid w:val="001A593D"/>
    <w:rsid w:val="001A6B24"/>
    <w:rsid w:val="001B2338"/>
    <w:rsid w:val="001B2DC1"/>
    <w:rsid w:val="001B3380"/>
    <w:rsid w:val="001C357D"/>
    <w:rsid w:val="001D1144"/>
    <w:rsid w:val="001D2395"/>
    <w:rsid w:val="001D702A"/>
    <w:rsid w:val="001E1D05"/>
    <w:rsid w:val="001E2668"/>
    <w:rsid w:val="001E338D"/>
    <w:rsid w:val="001E7349"/>
    <w:rsid w:val="001F1A5C"/>
    <w:rsid w:val="001F541A"/>
    <w:rsid w:val="001F6366"/>
    <w:rsid w:val="001F75DB"/>
    <w:rsid w:val="00203951"/>
    <w:rsid w:val="00210AC8"/>
    <w:rsid w:val="0021140E"/>
    <w:rsid w:val="002137B3"/>
    <w:rsid w:val="00214265"/>
    <w:rsid w:val="00215F68"/>
    <w:rsid w:val="002164F2"/>
    <w:rsid w:val="00216BCA"/>
    <w:rsid w:val="00216C42"/>
    <w:rsid w:val="0021786C"/>
    <w:rsid w:val="002264E5"/>
    <w:rsid w:val="00226C72"/>
    <w:rsid w:val="00226CFB"/>
    <w:rsid w:val="00230257"/>
    <w:rsid w:val="00234837"/>
    <w:rsid w:val="00235371"/>
    <w:rsid w:val="00240826"/>
    <w:rsid w:val="0024150D"/>
    <w:rsid w:val="00241570"/>
    <w:rsid w:val="002416B0"/>
    <w:rsid w:val="00242A6E"/>
    <w:rsid w:val="00243613"/>
    <w:rsid w:val="002530E8"/>
    <w:rsid w:val="002603C0"/>
    <w:rsid w:val="002610C2"/>
    <w:rsid w:val="002630C2"/>
    <w:rsid w:val="00263F15"/>
    <w:rsid w:val="00265732"/>
    <w:rsid w:val="0026721E"/>
    <w:rsid w:val="00277E84"/>
    <w:rsid w:val="002808B9"/>
    <w:rsid w:val="002821DA"/>
    <w:rsid w:val="00283564"/>
    <w:rsid w:val="00283964"/>
    <w:rsid w:val="00287AF1"/>
    <w:rsid w:val="00295EBA"/>
    <w:rsid w:val="00295F61"/>
    <w:rsid w:val="002A3B90"/>
    <w:rsid w:val="002A5F73"/>
    <w:rsid w:val="002A7387"/>
    <w:rsid w:val="002B20C4"/>
    <w:rsid w:val="002B57F0"/>
    <w:rsid w:val="002C434D"/>
    <w:rsid w:val="002C559B"/>
    <w:rsid w:val="002D5EC2"/>
    <w:rsid w:val="002E02A4"/>
    <w:rsid w:val="002E1B33"/>
    <w:rsid w:val="002E526F"/>
    <w:rsid w:val="002F3D87"/>
    <w:rsid w:val="002F5AFA"/>
    <w:rsid w:val="00300FF2"/>
    <w:rsid w:val="0030575C"/>
    <w:rsid w:val="00320C97"/>
    <w:rsid w:val="00320E71"/>
    <w:rsid w:val="0032160B"/>
    <w:rsid w:val="00323F88"/>
    <w:rsid w:val="0033036F"/>
    <w:rsid w:val="00330CDE"/>
    <w:rsid w:val="003331AB"/>
    <w:rsid w:val="00333EF6"/>
    <w:rsid w:val="00335F86"/>
    <w:rsid w:val="00336EAC"/>
    <w:rsid w:val="0034291C"/>
    <w:rsid w:val="00344B10"/>
    <w:rsid w:val="0035017C"/>
    <w:rsid w:val="003533D2"/>
    <w:rsid w:val="0035516B"/>
    <w:rsid w:val="003566AE"/>
    <w:rsid w:val="00364394"/>
    <w:rsid w:val="00364F1D"/>
    <w:rsid w:val="00373C92"/>
    <w:rsid w:val="003741D3"/>
    <w:rsid w:val="003747E9"/>
    <w:rsid w:val="00376304"/>
    <w:rsid w:val="003803B8"/>
    <w:rsid w:val="00383F53"/>
    <w:rsid w:val="0038667F"/>
    <w:rsid w:val="00390114"/>
    <w:rsid w:val="00395D94"/>
    <w:rsid w:val="003967C2"/>
    <w:rsid w:val="003A1AD4"/>
    <w:rsid w:val="003A4F38"/>
    <w:rsid w:val="003B262C"/>
    <w:rsid w:val="003B46E2"/>
    <w:rsid w:val="003B5BFC"/>
    <w:rsid w:val="003C6775"/>
    <w:rsid w:val="003D2067"/>
    <w:rsid w:val="003D38EA"/>
    <w:rsid w:val="003D70EC"/>
    <w:rsid w:val="003E0253"/>
    <w:rsid w:val="003F2AD8"/>
    <w:rsid w:val="003F3309"/>
    <w:rsid w:val="003F4CF1"/>
    <w:rsid w:val="003F6FEE"/>
    <w:rsid w:val="00400B5B"/>
    <w:rsid w:val="004040EF"/>
    <w:rsid w:val="00404E7F"/>
    <w:rsid w:val="00405EC9"/>
    <w:rsid w:val="00406200"/>
    <w:rsid w:val="0041128C"/>
    <w:rsid w:val="0041228E"/>
    <w:rsid w:val="004146E7"/>
    <w:rsid w:val="004148BA"/>
    <w:rsid w:val="00415B28"/>
    <w:rsid w:val="00425D3C"/>
    <w:rsid w:val="00431808"/>
    <w:rsid w:val="00431AC5"/>
    <w:rsid w:val="00432FC1"/>
    <w:rsid w:val="00440A1B"/>
    <w:rsid w:val="00444F14"/>
    <w:rsid w:val="00447C7C"/>
    <w:rsid w:val="00454613"/>
    <w:rsid w:val="00460DD7"/>
    <w:rsid w:val="00463BED"/>
    <w:rsid w:val="00466401"/>
    <w:rsid w:val="00467772"/>
    <w:rsid w:val="00474C71"/>
    <w:rsid w:val="004800F5"/>
    <w:rsid w:val="0048014F"/>
    <w:rsid w:val="00485907"/>
    <w:rsid w:val="0048787E"/>
    <w:rsid w:val="00491BDA"/>
    <w:rsid w:val="004948D8"/>
    <w:rsid w:val="00495A21"/>
    <w:rsid w:val="00495A74"/>
    <w:rsid w:val="004A04AD"/>
    <w:rsid w:val="004A4F7F"/>
    <w:rsid w:val="004B0C79"/>
    <w:rsid w:val="004B13B7"/>
    <w:rsid w:val="004B59A5"/>
    <w:rsid w:val="004C0C71"/>
    <w:rsid w:val="004C31A6"/>
    <w:rsid w:val="004D6AD6"/>
    <w:rsid w:val="004E07CF"/>
    <w:rsid w:val="004E0CF4"/>
    <w:rsid w:val="004E3B08"/>
    <w:rsid w:val="004E52EE"/>
    <w:rsid w:val="004E6A99"/>
    <w:rsid w:val="004E6ED4"/>
    <w:rsid w:val="004E7451"/>
    <w:rsid w:val="004F0793"/>
    <w:rsid w:val="004F4816"/>
    <w:rsid w:val="004F4EAB"/>
    <w:rsid w:val="00500354"/>
    <w:rsid w:val="00505E3D"/>
    <w:rsid w:val="00510A6F"/>
    <w:rsid w:val="005110CB"/>
    <w:rsid w:val="0051382B"/>
    <w:rsid w:val="00514E07"/>
    <w:rsid w:val="005155D9"/>
    <w:rsid w:val="005161A9"/>
    <w:rsid w:val="00516C1F"/>
    <w:rsid w:val="00520260"/>
    <w:rsid w:val="0052151A"/>
    <w:rsid w:val="005216E7"/>
    <w:rsid w:val="0052426E"/>
    <w:rsid w:val="00527E85"/>
    <w:rsid w:val="0053430E"/>
    <w:rsid w:val="00541AEE"/>
    <w:rsid w:val="00541D35"/>
    <w:rsid w:val="00544D73"/>
    <w:rsid w:val="00547C39"/>
    <w:rsid w:val="00557087"/>
    <w:rsid w:val="0056478D"/>
    <w:rsid w:val="00567478"/>
    <w:rsid w:val="005678FA"/>
    <w:rsid w:val="00567DCC"/>
    <w:rsid w:val="00570C29"/>
    <w:rsid w:val="005718AD"/>
    <w:rsid w:val="005738DC"/>
    <w:rsid w:val="005743C7"/>
    <w:rsid w:val="005864F4"/>
    <w:rsid w:val="005A0559"/>
    <w:rsid w:val="005A2D37"/>
    <w:rsid w:val="005A55AD"/>
    <w:rsid w:val="005A5D91"/>
    <w:rsid w:val="005B1BE2"/>
    <w:rsid w:val="005B239F"/>
    <w:rsid w:val="005B2EDA"/>
    <w:rsid w:val="005B3B8A"/>
    <w:rsid w:val="005B504D"/>
    <w:rsid w:val="005B512F"/>
    <w:rsid w:val="005B642E"/>
    <w:rsid w:val="005C0715"/>
    <w:rsid w:val="005C271C"/>
    <w:rsid w:val="005C771B"/>
    <w:rsid w:val="005D29A0"/>
    <w:rsid w:val="005D4047"/>
    <w:rsid w:val="005D565A"/>
    <w:rsid w:val="005E40CB"/>
    <w:rsid w:val="005F26B3"/>
    <w:rsid w:val="005F3296"/>
    <w:rsid w:val="005F3B52"/>
    <w:rsid w:val="005F5434"/>
    <w:rsid w:val="005F5BB6"/>
    <w:rsid w:val="006013DC"/>
    <w:rsid w:val="00602338"/>
    <w:rsid w:val="006029CA"/>
    <w:rsid w:val="006059C6"/>
    <w:rsid w:val="00616BE6"/>
    <w:rsid w:val="00617FB8"/>
    <w:rsid w:val="0062026C"/>
    <w:rsid w:val="006228E6"/>
    <w:rsid w:val="0062317E"/>
    <w:rsid w:val="00630F87"/>
    <w:rsid w:val="00635AF4"/>
    <w:rsid w:val="00636237"/>
    <w:rsid w:val="00641E26"/>
    <w:rsid w:val="006421C7"/>
    <w:rsid w:val="00642CA8"/>
    <w:rsid w:val="00643CC6"/>
    <w:rsid w:val="00643D65"/>
    <w:rsid w:val="00644EDA"/>
    <w:rsid w:val="0065042F"/>
    <w:rsid w:val="00653374"/>
    <w:rsid w:val="00655531"/>
    <w:rsid w:val="006635C4"/>
    <w:rsid w:val="00665E2A"/>
    <w:rsid w:val="00665F97"/>
    <w:rsid w:val="00672719"/>
    <w:rsid w:val="00674275"/>
    <w:rsid w:val="00676A5F"/>
    <w:rsid w:val="006806D9"/>
    <w:rsid w:val="006815A1"/>
    <w:rsid w:val="00682521"/>
    <w:rsid w:val="00685377"/>
    <w:rsid w:val="00686ADA"/>
    <w:rsid w:val="006929BA"/>
    <w:rsid w:val="006A057E"/>
    <w:rsid w:val="006A1B75"/>
    <w:rsid w:val="006A2AAE"/>
    <w:rsid w:val="006A2EC3"/>
    <w:rsid w:val="006A772C"/>
    <w:rsid w:val="006B2070"/>
    <w:rsid w:val="006B2386"/>
    <w:rsid w:val="006B50E2"/>
    <w:rsid w:val="006B5676"/>
    <w:rsid w:val="006B6602"/>
    <w:rsid w:val="006B685E"/>
    <w:rsid w:val="006C0666"/>
    <w:rsid w:val="006C2919"/>
    <w:rsid w:val="006C29A4"/>
    <w:rsid w:val="006C33E3"/>
    <w:rsid w:val="006C343D"/>
    <w:rsid w:val="006C3F8D"/>
    <w:rsid w:val="006C5A5F"/>
    <w:rsid w:val="006D2E51"/>
    <w:rsid w:val="006D4464"/>
    <w:rsid w:val="006D5FD8"/>
    <w:rsid w:val="006D7211"/>
    <w:rsid w:val="006D7BC0"/>
    <w:rsid w:val="006E45F0"/>
    <w:rsid w:val="006E4747"/>
    <w:rsid w:val="006E62DA"/>
    <w:rsid w:val="006E7667"/>
    <w:rsid w:val="006E7AA5"/>
    <w:rsid w:val="006F6751"/>
    <w:rsid w:val="006F7F30"/>
    <w:rsid w:val="007025F5"/>
    <w:rsid w:val="00704CD2"/>
    <w:rsid w:val="00706C0E"/>
    <w:rsid w:val="0071463C"/>
    <w:rsid w:val="00723205"/>
    <w:rsid w:val="007246D9"/>
    <w:rsid w:val="00732D5A"/>
    <w:rsid w:val="00735EDF"/>
    <w:rsid w:val="00736A07"/>
    <w:rsid w:val="00736FDB"/>
    <w:rsid w:val="007379C9"/>
    <w:rsid w:val="007419C4"/>
    <w:rsid w:val="007463EF"/>
    <w:rsid w:val="00747309"/>
    <w:rsid w:val="00753F69"/>
    <w:rsid w:val="00754F47"/>
    <w:rsid w:val="00755209"/>
    <w:rsid w:val="007624E5"/>
    <w:rsid w:val="0076633E"/>
    <w:rsid w:val="00767F56"/>
    <w:rsid w:val="00773D0A"/>
    <w:rsid w:val="007758FF"/>
    <w:rsid w:val="00782F1C"/>
    <w:rsid w:val="00786E12"/>
    <w:rsid w:val="00790F4C"/>
    <w:rsid w:val="0079144C"/>
    <w:rsid w:val="00795336"/>
    <w:rsid w:val="007963FD"/>
    <w:rsid w:val="00797900"/>
    <w:rsid w:val="007A2765"/>
    <w:rsid w:val="007A2915"/>
    <w:rsid w:val="007A6560"/>
    <w:rsid w:val="007A77C5"/>
    <w:rsid w:val="007B2C69"/>
    <w:rsid w:val="007B53D5"/>
    <w:rsid w:val="007C0901"/>
    <w:rsid w:val="007C1DC9"/>
    <w:rsid w:val="007D4427"/>
    <w:rsid w:val="007E1849"/>
    <w:rsid w:val="007E256E"/>
    <w:rsid w:val="007E270B"/>
    <w:rsid w:val="007E3B20"/>
    <w:rsid w:val="007E5B72"/>
    <w:rsid w:val="007E647D"/>
    <w:rsid w:val="007F080E"/>
    <w:rsid w:val="007F0F89"/>
    <w:rsid w:val="007F4585"/>
    <w:rsid w:val="007F46FC"/>
    <w:rsid w:val="0080114E"/>
    <w:rsid w:val="0080142F"/>
    <w:rsid w:val="008021B7"/>
    <w:rsid w:val="00802835"/>
    <w:rsid w:val="00803954"/>
    <w:rsid w:val="00804583"/>
    <w:rsid w:val="00804EA3"/>
    <w:rsid w:val="008056FA"/>
    <w:rsid w:val="0080750C"/>
    <w:rsid w:val="00810D30"/>
    <w:rsid w:val="00812FE7"/>
    <w:rsid w:val="00813D11"/>
    <w:rsid w:val="00814DD7"/>
    <w:rsid w:val="00815E60"/>
    <w:rsid w:val="00815FEC"/>
    <w:rsid w:val="00823290"/>
    <w:rsid w:val="0082416F"/>
    <w:rsid w:val="00825E19"/>
    <w:rsid w:val="0083030C"/>
    <w:rsid w:val="008306C8"/>
    <w:rsid w:val="0083300D"/>
    <w:rsid w:val="00833DD9"/>
    <w:rsid w:val="008400DA"/>
    <w:rsid w:val="00840934"/>
    <w:rsid w:val="00843C50"/>
    <w:rsid w:val="00845A9B"/>
    <w:rsid w:val="00850200"/>
    <w:rsid w:val="008531C7"/>
    <w:rsid w:val="00854463"/>
    <w:rsid w:val="008615EC"/>
    <w:rsid w:val="00866F44"/>
    <w:rsid w:val="00867EA0"/>
    <w:rsid w:val="00871539"/>
    <w:rsid w:val="00872E3A"/>
    <w:rsid w:val="008777DE"/>
    <w:rsid w:val="00881FA3"/>
    <w:rsid w:val="0088597C"/>
    <w:rsid w:val="0089148C"/>
    <w:rsid w:val="00893C20"/>
    <w:rsid w:val="00895ED7"/>
    <w:rsid w:val="00897ED2"/>
    <w:rsid w:val="008A5416"/>
    <w:rsid w:val="008B4290"/>
    <w:rsid w:val="008B688E"/>
    <w:rsid w:val="008B736C"/>
    <w:rsid w:val="008C176F"/>
    <w:rsid w:val="008C1BEC"/>
    <w:rsid w:val="008C6449"/>
    <w:rsid w:val="008D1A2A"/>
    <w:rsid w:val="008D3852"/>
    <w:rsid w:val="008D7673"/>
    <w:rsid w:val="008D7F89"/>
    <w:rsid w:val="008E07FD"/>
    <w:rsid w:val="008E0F24"/>
    <w:rsid w:val="008E30F5"/>
    <w:rsid w:val="008E4888"/>
    <w:rsid w:val="008E5B31"/>
    <w:rsid w:val="008E7AD4"/>
    <w:rsid w:val="00904005"/>
    <w:rsid w:val="00906E15"/>
    <w:rsid w:val="00907D3B"/>
    <w:rsid w:val="0091370A"/>
    <w:rsid w:val="0091785C"/>
    <w:rsid w:val="00917D76"/>
    <w:rsid w:val="0092023E"/>
    <w:rsid w:val="0092135F"/>
    <w:rsid w:val="009319BB"/>
    <w:rsid w:val="0093327C"/>
    <w:rsid w:val="009338A5"/>
    <w:rsid w:val="00935C42"/>
    <w:rsid w:val="0093738E"/>
    <w:rsid w:val="00942959"/>
    <w:rsid w:val="00953CE3"/>
    <w:rsid w:val="00954344"/>
    <w:rsid w:val="00960333"/>
    <w:rsid w:val="009625E4"/>
    <w:rsid w:val="00962FD0"/>
    <w:rsid w:val="009659A8"/>
    <w:rsid w:val="00970504"/>
    <w:rsid w:val="009725E1"/>
    <w:rsid w:val="00973333"/>
    <w:rsid w:val="0097395A"/>
    <w:rsid w:val="0097461A"/>
    <w:rsid w:val="00974F92"/>
    <w:rsid w:val="00981265"/>
    <w:rsid w:val="00981C4B"/>
    <w:rsid w:val="00983D9F"/>
    <w:rsid w:val="00984880"/>
    <w:rsid w:val="00986DF3"/>
    <w:rsid w:val="00987216"/>
    <w:rsid w:val="009930E9"/>
    <w:rsid w:val="009A5FDB"/>
    <w:rsid w:val="009B4AB2"/>
    <w:rsid w:val="009B7A10"/>
    <w:rsid w:val="009D6053"/>
    <w:rsid w:val="009E2551"/>
    <w:rsid w:val="009E36CC"/>
    <w:rsid w:val="009E3EED"/>
    <w:rsid w:val="009E41A6"/>
    <w:rsid w:val="009E56F0"/>
    <w:rsid w:val="009E7CCA"/>
    <w:rsid w:val="009F36D7"/>
    <w:rsid w:val="00A00C86"/>
    <w:rsid w:val="00A02765"/>
    <w:rsid w:val="00A122D0"/>
    <w:rsid w:val="00A12691"/>
    <w:rsid w:val="00A16B6F"/>
    <w:rsid w:val="00A22174"/>
    <w:rsid w:val="00A22A7B"/>
    <w:rsid w:val="00A2331D"/>
    <w:rsid w:val="00A25053"/>
    <w:rsid w:val="00A26C4E"/>
    <w:rsid w:val="00A35AE5"/>
    <w:rsid w:val="00A41B20"/>
    <w:rsid w:val="00A44247"/>
    <w:rsid w:val="00A44B52"/>
    <w:rsid w:val="00A46D99"/>
    <w:rsid w:val="00A51986"/>
    <w:rsid w:val="00A6426F"/>
    <w:rsid w:val="00A64316"/>
    <w:rsid w:val="00A672A9"/>
    <w:rsid w:val="00A70396"/>
    <w:rsid w:val="00A747C0"/>
    <w:rsid w:val="00A7522F"/>
    <w:rsid w:val="00A764B2"/>
    <w:rsid w:val="00A7690D"/>
    <w:rsid w:val="00A81C95"/>
    <w:rsid w:val="00A83C01"/>
    <w:rsid w:val="00A83E3D"/>
    <w:rsid w:val="00A862B8"/>
    <w:rsid w:val="00A90B69"/>
    <w:rsid w:val="00A91A74"/>
    <w:rsid w:val="00A925A3"/>
    <w:rsid w:val="00A92DDA"/>
    <w:rsid w:val="00A941FA"/>
    <w:rsid w:val="00A945A8"/>
    <w:rsid w:val="00A955E2"/>
    <w:rsid w:val="00A95D94"/>
    <w:rsid w:val="00AA00CC"/>
    <w:rsid w:val="00AA6AFC"/>
    <w:rsid w:val="00AB07F1"/>
    <w:rsid w:val="00AB305C"/>
    <w:rsid w:val="00AB3904"/>
    <w:rsid w:val="00AB3DE1"/>
    <w:rsid w:val="00AC092E"/>
    <w:rsid w:val="00AC10FB"/>
    <w:rsid w:val="00AC1228"/>
    <w:rsid w:val="00AC32A3"/>
    <w:rsid w:val="00AC5620"/>
    <w:rsid w:val="00AD17F7"/>
    <w:rsid w:val="00AD2F6F"/>
    <w:rsid w:val="00AD5A58"/>
    <w:rsid w:val="00AD7BEF"/>
    <w:rsid w:val="00AE2914"/>
    <w:rsid w:val="00AE3669"/>
    <w:rsid w:val="00AE665B"/>
    <w:rsid w:val="00AF166E"/>
    <w:rsid w:val="00AF22CD"/>
    <w:rsid w:val="00AF3227"/>
    <w:rsid w:val="00AF3B1A"/>
    <w:rsid w:val="00AF7B46"/>
    <w:rsid w:val="00B0038D"/>
    <w:rsid w:val="00B01AD0"/>
    <w:rsid w:val="00B046E6"/>
    <w:rsid w:val="00B04F66"/>
    <w:rsid w:val="00B07451"/>
    <w:rsid w:val="00B07509"/>
    <w:rsid w:val="00B138BD"/>
    <w:rsid w:val="00B166C6"/>
    <w:rsid w:val="00B27BBC"/>
    <w:rsid w:val="00B31351"/>
    <w:rsid w:val="00B341C9"/>
    <w:rsid w:val="00B34A87"/>
    <w:rsid w:val="00B36CAD"/>
    <w:rsid w:val="00B37B26"/>
    <w:rsid w:val="00B415AA"/>
    <w:rsid w:val="00B4614B"/>
    <w:rsid w:val="00B46579"/>
    <w:rsid w:val="00B50883"/>
    <w:rsid w:val="00B50931"/>
    <w:rsid w:val="00B57531"/>
    <w:rsid w:val="00B60CD7"/>
    <w:rsid w:val="00B62D10"/>
    <w:rsid w:val="00B674D3"/>
    <w:rsid w:val="00B737AF"/>
    <w:rsid w:val="00B74962"/>
    <w:rsid w:val="00B76FD5"/>
    <w:rsid w:val="00B80F66"/>
    <w:rsid w:val="00B81BFC"/>
    <w:rsid w:val="00B84D42"/>
    <w:rsid w:val="00B92356"/>
    <w:rsid w:val="00B9291A"/>
    <w:rsid w:val="00B956C6"/>
    <w:rsid w:val="00B95C42"/>
    <w:rsid w:val="00BA2D3B"/>
    <w:rsid w:val="00BA4A7D"/>
    <w:rsid w:val="00BB433E"/>
    <w:rsid w:val="00BB732C"/>
    <w:rsid w:val="00BD02CE"/>
    <w:rsid w:val="00BD0C7C"/>
    <w:rsid w:val="00BD2272"/>
    <w:rsid w:val="00BD6965"/>
    <w:rsid w:val="00BD7AD8"/>
    <w:rsid w:val="00BE065A"/>
    <w:rsid w:val="00BE1960"/>
    <w:rsid w:val="00BE26FE"/>
    <w:rsid w:val="00BE5A19"/>
    <w:rsid w:val="00BE5C4F"/>
    <w:rsid w:val="00BF304A"/>
    <w:rsid w:val="00BF76F7"/>
    <w:rsid w:val="00C01039"/>
    <w:rsid w:val="00C11405"/>
    <w:rsid w:val="00C20FF0"/>
    <w:rsid w:val="00C2229A"/>
    <w:rsid w:val="00C31FD4"/>
    <w:rsid w:val="00C327AA"/>
    <w:rsid w:val="00C33219"/>
    <w:rsid w:val="00C34203"/>
    <w:rsid w:val="00C36172"/>
    <w:rsid w:val="00C37929"/>
    <w:rsid w:val="00C41D3A"/>
    <w:rsid w:val="00C41F68"/>
    <w:rsid w:val="00C445A7"/>
    <w:rsid w:val="00C45B7B"/>
    <w:rsid w:val="00C50D28"/>
    <w:rsid w:val="00C530FC"/>
    <w:rsid w:val="00C541DC"/>
    <w:rsid w:val="00C5591F"/>
    <w:rsid w:val="00C56FFA"/>
    <w:rsid w:val="00C67E25"/>
    <w:rsid w:val="00C70C93"/>
    <w:rsid w:val="00C72E2B"/>
    <w:rsid w:val="00C72E7F"/>
    <w:rsid w:val="00C7444F"/>
    <w:rsid w:val="00C7471A"/>
    <w:rsid w:val="00C74B4E"/>
    <w:rsid w:val="00C80DAE"/>
    <w:rsid w:val="00C840D0"/>
    <w:rsid w:val="00C901B0"/>
    <w:rsid w:val="00C90528"/>
    <w:rsid w:val="00C939FE"/>
    <w:rsid w:val="00C957DA"/>
    <w:rsid w:val="00CA0DCF"/>
    <w:rsid w:val="00CA3757"/>
    <w:rsid w:val="00CA3841"/>
    <w:rsid w:val="00CA4008"/>
    <w:rsid w:val="00CA4350"/>
    <w:rsid w:val="00CB1436"/>
    <w:rsid w:val="00CB1951"/>
    <w:rsid w:val="00CB1CE9"/>
    <w:rsid w:val="00CB4D38"/>
    <w:rsid w:val="00CB6422"/>
    <w:rsid w:val="00CC5455"/>
    <w:rsid w:val="00CC54D0"/>
    <w:rsid w:val="00CC623A"/>
    <w:rsid w:val="00CC73AD"/>
    <w:rsid w:val="00CD448E"/>
    <w:rsid w:val="00CD55E4"/>
    <w:rsid w:val="00CD60E2"/>
    <w:rsid w:val="00CE2350"/>
    <w:rsid w:val="00CE428A"/>
    <w:rsid w:val="00CE43FD"/>
    <w:rsid w:val="00CF2868"/>
    <w:rsid w:val="00CF2F86"/>
    <w:rsid w:val="00CF2FE2"/>
    <w:rsid w:val="00CF4CCC"/>
    <w:rsid w:val="00CF5239"/>
    <w:rsid w:val="00D046CE"/>
    <w:rsid w:val="00D21899"/>
    <w:rsid w:val="00D264B0"/>
    <w:rsid w:val="00D31E93"/>
    <w:rsid w:val="00D32564"/>
    <w:rsid w:val="00D33B5C"/>
    <w:rsid w:val="00D3531E"/>
    <w:rsid w:val="00D452C0"/>
    <w:rsid w:val="00D5028B"/>
    <w:rsid w:val="00D517F8"/>
    <w:rsid w:val="00D5463C"/>
    <w:rsid w:val="00D574C7"/>
    <w:rsid w:val="00D60946"/>
    <w:rsid w:val="00D64C4F"/>
    <w:rsid w:val="00D677A6"/>
    <w:rsid w:val="00D729E2"/>
    <w:rsid w:val="00D73B5E"/>
    <w:rsid w:val="00D73C78"/>
    <w:rsid w:val="00D74C04"/>
    <w:rsid w:val="00D7568A"/>
    <w:rsid w:val="00D768F5"/>
    <w:rsid w:val="00D81083"/>
    <w:rsid w:val="00D853B0"/>
    <w:rsid w:val="00D92360"/>
    <w:rsid w:val="00D92DDF"/>
    <w:rsid w:val="00D9341F"/>
    <w:rsid w:val="00D94BDB"/>
    <w:rsid w:val="00D96FF2"/>
    <w:rsid w:val="00DA580E"/>
    <w:rsid w:val="00DA5C71"/>
    <w:rsid w:val="00DA7203"/>
    <w:rsid w:val="00DB5FE2"/>
    <w:rsid w:val="00DC1000"/>
    <w:rsid w:val="00DC4B38"/>
    <w:rsid w:val="00DC64B1"/>
    <w:rsid w:val="00DC7C77"/>
    <w:rsid w:val="00DD7A8A"/>
    <w:rsid w:val="00DE01DD"/>
    <w:rsid w:val="00DE1226"/>
    <w:rsid w:val="00DE3460"/>
    <w:rsid w:val="00DE78B0"/>
    <w:rsid w:val="00DF1FB6"/>
    <w:rsid w:val="00DF5A1E"/>
    <w:rsid w:val="00DF5C95"/>
    <w:rsid w:val="00DF683B"/>
    <w:rsid w:val="00DF773C"/>
    <w:rsid w:val="00E046E5"/>
    <w:rsid w:val="00E068F3"/>
    <w:rsid w:val="00E1038F"/>
    <w:rsid w:val="00E14FA6"/>
    <w:rsid w:val="00E15282"/>
    <w:rsid w:val="00E2090E"/>
    <w:rsid w:val="00E26309"/>
    <w:rsid w:val="00E31B41"/>
    <w:rsid w:val="00E32205"/>
    <w:rsid w:val="00E340B5"/>
    <w:rsid w:val="00E36F61"/>
    <w:rsid w:val="00E37CCE"/>
    <w:rsid w:val="00E437EC"/>
    <w:rsid w:val="00E45859"/>
    <w:rsid w:val="00E501D1"/>
    <w:rsid w:val="00E5126A"/>
    <w:rsid w:val="00E51A6F"/>
    <w:rsid w:val="00E61AAF"/>
    <w:rsid w:val="00E702C8"/>
    <w:rsid w:val="00E71287"/>
    <w:rsid w:val="00E73F4E"/>
    <w:rsid w:val="00E74419"/>
    <w:rsid w:val="00E76CCA"/>
    <w:rsid w:val="00E7776F"/>
    <w:rsid w:val="00E81D87"/>
    <w:rsid w:val="00E846BC"/>
    <w:rsid w:val="00E86BE7"/>
    <w:rsid w:val="00E870FB"/>
    <w:rsid w:val="00E87E11"/>
    <w:rsid w:val="00E90A94"/>
    <w:rsid w:val="00E957DC"/>
    <w:rsid w:val="00E96FB5"/>
    <w:rsid w:val="00EA2884"/>
    <w:rsid w:val="00EA7656"/>
    <w:rsid w:val="00EB1449"/>
    <w:rsid w:val="00EB1A5E"/>
    <w:rsid w:val="00EB2EC5"/>
    <w:rsid w:val="00EB54EC"/>
    <w:rsid w:val="00EB77A9"/>
    <w:rsid w:val="00EB7FC1"/>
    <w:rsid w:val="00EC1754"/>
    <w:rsid w:val="00EC2035"/>
    <w:rsid w:val="00EC4C46"/>
    <w:rsid w:val="00ED21EA"/>
    <w:rsid w:val="00ED390B"/>
    <w:rsid w:val="00ED672F"/>
    <w:rsid w:val="00EE3B5E"/>
    <w:rsid w:val="00EE6B1C"/>
    <w:rsid w:val="00EF2FAC"/>
    <w:rsid w:val="00F034B6"/>
    <w:rsid w:val="00F12171"/>
    <w:rsid w:val="00F154E4"/>
    <w:rsid w:val="00F21DEE"/>
    <w:rsid w:val="00F22321"/>
    <w:rsid w:val="00F248A2"/>
    <w:rsid w:val="00F32E78"/>
    <w:rsid w:val="00F3423F"/>
    <w:rsid w:val="00F34E88"/>
    <w:rsid w:val="00F36FC1"/>
    <w:rsid w:val="00F41A66"/>
    <w:rsid w:val="00F43AD2"/>
    <w:rsid w:val="00F475E8"/>
    <w:rsid w:val="00F5166E"/>
    <w:rsid w:val="00F5188D"/>
    <w:rsid w:val="00F51F50"/>
    <w:rsid w:val="00F60C02"/>
    <w:rsid w:val="00F61564"/>
    <w:rsid w:val="00F625FA"/>
    <w:rsid w:val="00F635CA"/>
    <w:rsid w:val="00F64B57"/>
    <w:rsid w:val="00F66CFC"/>
    <w:rsid w:val="00F6758C"/>
    <w:rsid w:val="00F7045B"/>
    <w:rsid w:val="00F727B3"/>
    <w:rsid w:val="00F7338A"/>
    <w:rsid w:val="00F7534D"/>
    <w:rsid w:val="00F758A8"/>
    <w:rsid w:val="00F775C4"/>
    <w:rsid w:val="00F825A1"/>
    <w:rsid w:val="00F850E1"/>
    <w:rsid w:val="00F909B6"/>
    <w:rsid w:val="00F919C7"/>
    <w:rsid w:val="00F92072"/>
    <w:rsid w:val="00F925A8"/>
    <w:rsid w:val="00F960A9"/>
    <w:rsid w:val="00F974DF"/>
    <w:rsid w:val="00FA0B71"/>
    <w:rsid w:val="00FA68F0"/>
    <w:rsid w:val="00FA75E4"/>
    <w:rsid w:val="00FA7A0E"/>
    <w:rsid w:val="00FB2A65"/>
    <w:rsid w:val="00FB3CE4"/>
    <w:rsid w:val="00FB474D"/>
    <w:rsid w:val="00FB6E3F"/>
    <w:rsid w:val="00FB7C18"/>
    <w:rsid w:val="00FC0489"/>
    <w:rsid w:val="00FC14BB"/>
    <w:rsid w:val="00FC3E1B"/>
    <w:rsid w:val="00FD03CB"/>
    <w:rsid w:val="00FD3F64"/>
    <w:rsid w:val="00FD4817"/>
    <w:rsid w:val="00FD5854"/>
    <w:rsid w:val="00FE286F"/>
    <w:rsid w:val="00FE45BB"/>
    <w:rsid w:val="00FE5B05"/>
    <w:rsid w:val="00FE60D9"/>
    <w:rsid w:val="00FF00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D5B36"/>
  <w15:chartTrackingRefBased/>
  <w15:docId w15:val="{5520E55F-A096-4F44-9C2B-B402A0945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6AE"/>
    <w:rPr>
      <w:rFonts w:ascii="Calibri" w:hAnsi="Calibri"/>
    </w:rPr>
  </w:style>
  <w:style w:type="paragraph" w:styleId="Heading1">
    <w:name w:val="heading 1"/>
    <w:basedOn w:val="Normal"/>
    <w:next w:val="Normal"/>
    <w:link w:val="Heading1Char"/>
    <w:uiPriority w:val="9"/>
    <w:qFormat/>
    <w:rsid w:val="00674275"/>
    <w:pPr>
      <w:keepNext/>
      <w:keepLines/>
      <w:spacing w:before="360" w:after="80"/>
      <w:outlineLvl w:val="0"/>
    </w:pPr>
    <w:rPr>
      <w:rFonts w:eastAsiaTheme="majorEastAsia" w:cstheme="majorBidi"/>
      <w:b/>
      <w:color w:val="0F4761" w:themeColor="accent1" w:themeShade="BF"/>
      <w:sz w:val="28"/>
      <w:szCs w:val="40"/>
    </w:rPr>
  </w:style>
  <w:style w:type="paragraph" w:styleId="Heading2">
    <w:name w:val="heading 2"/>
    <w:basedOn w:val="Normal"/>
    <w:next w:val="Normal"/>
    <w:link w:val="Heading2Char"/>
    <w:uiPriority w:val="9"/>
    <w:unhideWhenUsed/>
    <w:qFormat/>
    <w:rsid w:val="006029CA"/>
    <w:pPr>
      <w:keepNext/>
      <w:keepLines/>
      <w:spacing w:before="160" w:after="80"/>
      <w:outlineLvl w:val="1"/>
    </w:pPr>
    <w:rPr>
      <w:rFonts w:eastAsiaTheme="majorEastAsia" w:cstheme="majorBidi"/>
      <w:color w:val="0F4761" w:themeColor="accent1" w:themeShade="BF"/>
      <w:sz w:val="28"/>
      <w:szCs w:val="32"/>
    </w:rPr>
  </w:style>
  <w:style w:type="paragraph" w:styleId="Heading3">
    <w:name w:val="heading 3"/>
    <w:basedOn w:val="Normal"/>
    <w:next w:val="Normal"/>
    <w:link w:val="Heading3Char"/>
    <w:uiPriority w:val="9"/>
    <w:unhideWhenUsed/>
    <w:qFormat/>
    <w:rsid w:val="006029CA"/>
    <w:pPr>
      <w:keepNext/>
      <w:keepLines/>
      <w:spacing w:before="160" w:after="80"/>
      <w:outlineLvl w:val="2"/>
    </w:pPr>
    <w:rPr>
      <w:rFonts w:eastAsiaTheme="majorEastAsia" w:cstheme="majorBidi"/>
      <w:color w:val="0F4761" w:themeColor="accent1" w:themeShade="BF"/>
      <w:sz w:val="24"/>
      <w:szCs w:val="28"/>
    </w:rPr>
  </w:style>
  <w:style w:type="paragraph" w:styleId="Heading4">
    <w:name w:val="heading 4"/>
    <w:basedOn w:val="Normal"/>
    <w:next w:val="Normal"/>
    <w:link w:val="Heading4Char"/>
    <w:uiPriority w:val="9"/>
    <w:semiHidden/>
    <w:unhideWhenUsed/>
    <w:qFormat/>
    <w:rsid w:val="007552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52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52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52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52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52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275"/>
    <w:rPr>
      <w:rFonts w:ascii="Calibri" w:eastAsiaTheme="majorEastAsia" w:hAnsi="Calibri" w:cstheme="majorBidi"/>
      <w:b/>
      <w:color w:val="0F4761" w:themeColor="accent1" w:themeShade="BF"/>
      <w:sz w:val="28"/>
      <w:szCs w:val="40"/>
    </w:rPr>
  </w:style>
  <w:style w:type="character" w:customStyle="1" w:styleId="Heading2Char">
    <w:name w:val="Heading 2 Char"/>
    <w:basedOn w:val="DefaultParagraphFont"/>
    <w:link w:val="Heading2"/>
    <w:uiPriority w:val="9"/>
    <w:rsid w:val="006029CA"/>
    <w:rPr>
      <w:rFonts w:ascii="Calibri" w:eastAsiaTheme="majorEastAsia" w:hAnsi="Calibri" w:cstheme="majorBidi"/>
      <w:color w:val="0F4761" w:themeColor="accent1" w:themeShade="BF"/>
      <w:sz w:val="28"/>
      <w:szCs w:val="32"/>
    </w:rPr>
  </w:style>
  <w:style w:type="character" w:customStyle="1" w:styleId="Heading3Char">
    <w:name w:val="Heading 3 Char"/>
    <w:basedOn w:val="DefaultParagraphFont"/>
    <w:link w:val="Heading3"/>
    <w:uiPriority w:val="9"/>
    <w:rsid w:val="006029CA"/>
    <w:rPr>
      <w:rFonts w:ascii="Calibri" w:eastAsiaTheme="majorEastAsia" w:hAnsi="Calibri" w:cstheme="majorBidi"/>
      <w:color w:val="0F4761" w:themeColor="accent1" w:themeShade="BF"/>
      <w:sz w:val="24"/>
      <w:szCs w:val="28"/>
    </w:rPr>
  </w:style>
  <w:style w:type="character" w:customStyle="1" w:styleId="Heading4Char">
    <w:name w:val="Heading 4 Char"/>
    <w:basedOn w:val="DefaultParagraphFont"/>
    <w:link w:val="Heading4"/>
    <w:uiPriority w:val="9"/>
    <w:semiHidden/>
    <w:rsid w:val="007552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52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52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52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52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5209"/>
    <w:rPr>
      <w:rFonts w:eastAsiaTheme="majorEastAsia" w:cstheme="majorBidi"/>
      <w:color w:val="272727" w:themeColor="text1" w:themeTint="D8"/>
    </w:rPr>
  </w:style>
  <w:style w:type="paragraph" w:styleId="Title">
    <w:name w:val="Title"/>
    <w:basedOn w:val="Normal"/>
    <w:next w:val="Normal"/>
    <w:link w:val="TitleChar"/>
    <w:uiPriority w:val="10"/>
    <w:qFormat/>
    <w:rsid w:val="007552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2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52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52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5209"/>
    <w:pPr>
      <w:spacing w:before="160"/>
      <w:jc w:val="center"/>
    </w:pPr>
    <w:rPr>
      <w:i/>
      <w:iCs/>
      <w:color w:val="404040" w:themeColor="text1" w:themeTint="BF"/>
    </w:rPr>
  </w:style>
  <w:style w:type="character" w:customStyle="1" w:styleId="QuoteChar">
    <w:name w:val="Quote Char"/>
    <w:basedOn w:val="DefaultParagraphFont"/>
    <w:link w:val="Quote"/>
    <w:uiPriority w:val="29"/>
    <w:rsid w:val="00755209"/>
    <w:rPr>
      <w:i/>
      <w:iCs/>
      <w:color w:val="404040" w:themeColor="text1" w:themeTint="BF"/>
    </w:rPr>
  </w:style>
  <w:style w:type="paragraph" w:styleId="ListParagraph">
    <w:name w:val="List Paragraph"/>
    <w:basedOn w:val="Normal"/>
    <w:uiPriority w:val="34"/>
    <w:qFormat/>
    <w:rsid w:val="00755209"/>
    <w:pPr>
      <w:ind w:left="720"/>
      <w:contextualSpacing/>
    </w:pPr>
  </w:style>
  <w:style w:type="character" w:styleId="IntenseEmphasis">
    <w:name w:val="Intense Emphasis"/>
    <w:basedOn w:val="DefaultParagraphFont"/>
    <w:uiPriority w:val="21"/>
    <w:qFormat/>
    <w:rsid w:val="00755209"/>
    <w:rPr>
      <w:i/>
      <w:iCs/>
      <w:color w:val="0F4761" w:themeColor="accent1" w:themeShade="BF"/>
    </w:rPr>
  </w:style>
  <w:style w:type="paragraph" w:styleId="IntenseQuote">
    <w:name w:val="Intense Quote"/>
    <w:basedOn w:val="Normal"/>
    <w:next w:val="Normal"/>
    <w:link w:val="IntenseQuoteChar"/>
    <w:uiPriority w:val="30"/>
    <w:qFormat/>
    <w:rsid w:val="007552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5209"/>
    <w:rPr>
      <w:i/>
      <w:iCs/>
      <w:color w:val="0F4761" w:themeColor="accent1" w:themeShade="BF"/>
    </w:rPr>
  </w:style>
  <w:style w:type="character" w:styleId="IntenseReference">
    <w:name w:val="Intense Reference"/>
    <w:basedOn w:val="DefaultParagraphFont"/>
    <w:uiPriority w:val="32"/>
    <w:qFormat/>
    <w:rsid w:val="00755209"/>
    <w:rPr>
      <w:b/>
      <w:bCs/>
      <w:smallCaps/>
      <w:color w:val="0F4761" w:themeColor="accent1" w:themeShade="BF"/>
      <w:spacing w:val="5"/>
    </w:rPr>
  </w:style>
  <w:style w:type="character" w:styleId="Hyperlink">
    <w:name w:val="Hyperlink"/>
    <w:basedOn w:val="DefaultParagraphFont"/>
    <w:uiPriority w:val="99"/>
    <w:unhideWhenUsed/>
    <w:rsid w:val="005155D9"/>
    <w:rPr>
      <w:color w:val="467886" w:themeColor="hyperlink"/>
      <w:u w:val="single"/>
    </w:rPr>
  </w:style>
  <w:style w:type="character" w:styleId="UnresolvedMention">
    <w:name w:val="Unresolved Mention"/>
    <w:basedOn w:val="DefaultParagraphFont"/>
    <w:uiPriority w:val="99"/>
    <w:semiHidden/>
    <w:unhideWhenUsed/>
    <w:rsid w:val="005155D9"/>
    <w:rPr>
      <w:color w:val="605E5C"/>
      <w:shd w:val="clear" w:color="auto" w:fill="E1DFDD"/>
    </w:rPr>
  </w:style>
  <w:style w:type="table" w:styleId="TableGrid">
    <w:name w:val="Table Grid"/>
    <w:basedOn w:val="TableNormal"/>
    <w:uiPriority w:val="39"/>
    <w:rsid w:val="006D5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D721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A925A3"/>
    <w:rPr>
      <w:color w:val="96607D"/>
      <w:u w:val="single"/>
    </w:rPr>
  </w:style>
  <w:style w:type="paragraph" w:customStyle="1" w:styleId="msonormal0">
    <w:name w:val="msonormal"/>
    <w:basedOn w:val="Normal"/>
    <w:rsid w:val="00A925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5">
    <w:name w:val="xl65"/>
    <w:basedOn w:val="Normal"/>
    <w:rsid w:val="00A925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6">
    <w:name w:val="xl66"/>
    <w:basedOn w:val="Normal"/>
    <w:rsid w:val="00A925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7">
    <w:name w:val="xl67"/>
    <w:basedOn w:val="Normal"/>
    <w:rsid w:val="00A925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68">
    <w:name w:val="xl68"/>
    <w:basedOn w:val="Normal"/>
    <w:rsid w:val="00A925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styleId="TOC1">
    <w:name w:val="toc 1"/>
    <w:basedOn w:val="Normal"/>
    <w:next w:val="Normal"/>
    <w:autoRedefine/>
    <w:uiPriority w:val="39"/>
    <w:unhideWhenUsed/>
    <w:rsid w:val="004948D8"/>
    <w:pPr>
      <w:spacing w:after="100"/>
    </w:pPr>
  </w:style>
  <w:style w:type="paragraph" w:styleId="Header">
    <w:name w:val="header"/>
    <w:basedOn w:val="Normal"/>
    <w:link w:val="HeaderChar"/>
    <w:uiPriority w:val="99"/>
    <w:unhideWhenUsed/>
    <w:rsid w:val="009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265"/>
  </w:style>
  <w:style w:type="paragraph" w:styleId="Footer">
    <w:name w:val="footer"/>
    <w:basedOn w:val="Normal"/>
    <w:link w:val="FooterChar"/>
    <w:uiPriority w:val="99"/>
    <w:unhideWhenUsed/>
    <w:rsid w:val="009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265"/>
  </w:style>
  <w:style w:type="paragraph" w:styleId="TOC2">
    <w:name w:val="toc 2"/>
    <w:basedOn w:val="Normal"/>
    <w:next w:val="Normal"/>
    <w:autoRedefine/>
    <w:uiPriority w:val="39"/>
    <w:unhideWhenUsed/>
    <w:rsid w:val="00981265"/>
    <w:pPr>
      <w:spacing w:after="100"/>
      <w:ind w:left="220"/>
    </w:pPr>
  </w:style>
  <w:style w:type="paragraph" w:styleId="NormalWeb">
    <w:name w:val="Normal (Web)"/>
    <w:basedOn w:val="Normal"/>
    <w:uiPriority w:val="99"/>
    <w:semiHidden/>
    <w:unhideWhenUsed/>
    <w:rsid w:val="002C559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semiHidden/>
    <w:unhideWhenUsed/>
    <w:rsid w:val="00F635CA"/>
    <w:pPr>
      <w:spacing w:after="0" w:line="240" w:lineRule="auto"/>
    </w:pPr>
    <w:rPr>
      <w:rFonts w:asciiTheme="minorHAnsi" w:hAnsiTheme="minorHAnsi"/>
      <w:kern w:val="0"/>
      <w:sz w:val="20"/>
      <w:szCs w:val="20"/>
      <w:lang w:val="en-GB"/>
      <w14:ligatures w14:val="none"/>
    </w:rPr>
  </w:style>
  <w:style w:type="character" w:customStyle="1" w:styleId="FootnoteTextChar">
    <w:name w:val="Footnote Text Char"/>
    <w:basedOn w:val="DefaultParagraphFont"/>
    <w:link w:val="FootnoteText"/>
    <w:uiPriority w:val="99"/>
    <w:semiHidden/>
    <w:rsid w:val="00F635CA"/>
    <w:rPr>
      <w:kern w:val="0"/>
      <w:sz w:val="20"/>
      <w:szCs w:val="20"/>
      <w:lang w:val="en-GB"/>
      <w14:ligatures w14:val="none"/>
    </w:rPr>
  </w:style>
  <w:style w:type="character" w:styleId="FootnoteReference">
    <w:name w:val="footnote reference"/>
    <w:basedOn w:val="DefaultParagraphFont"/>
    <w:uiPriority w:val="99"/>
    <w:semiHidden/>
    <w:unhideWhenUsed/>
    <w:rsid w:val="00F635CA"/>
    <w:rPr>
      <w:vertAlign w:val="superscript"/>
    </w:rPr>
  </w:style>
  <w:style w:type="numbering" w:customStyle="1" w:styleId="CurrentList1">
    <w:name w:val="Current List1"/>
    <w:uiPriority w:val="99"/>
    <w:rsid w:val="00B74962"/>
    <w:pPr>
      <w:numPr>
        <w:numId w:val="14"/>
      </w:numPr>
    </w:pPr>
  </w:style>
  <w:style w:type="character" w:styleId="CommentReference">
    <w:name w:val="annotation reference"/>
    <w:basedOn w:val="DefaultParagraphFont"/>
    <w:uiPriority w:val="99"/>
    <w:semiHidden/>
    <w:unhideWhenUsed/>
    <w:rsid w:val="00E76CCA"/>
    <w:rPr>
      <w:sz w:val="16"/>
      <w:szCs w:val="16"/>
    </w:rPr>
  </w:style>
  <w:style w:type="paragraph" w:styleId="CommentText">
    <w:name w:val="annotation text"/>
    <w:basedOn w:val="Normal"/>
    <w:link w:val="CommentTextChar"/>
    <w:uiPriority w:val="99"/>
    <w:unhideWhenUsed/>
    <w:rsid w:val="00E76CCA"/>
    <w:pPr>
      <w:spacing w:line="240" w:lineRule="auto"/>
    </w:pPr>
    <w:rPr>
      <w:sz w:val="20"/>
      <w:szCs w:val="20"/>
    </w:rPr>
  </w:style>
  <w:style w:type="character" w:customStyle="1" w:styleId="CommentTextChar">
    <w:name w:val="Comment Text Char"/>
    <w:basedOn w:val="DefaultParagraphFont"/>
    <w:link w:val="CommentText"/>
    <w:uiPriority w:val="99"/>
    <w:rsid w:val="00E76CCA"/>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76CCA"/>
    <w:rPr>
      <w:b/>
      <w:bCs/>
    </w:rPr>
  </w:style>
  <w:style w:type="character" w:customStyle="1" w:styleId="CommentSubjectChar">
    <w:name w:val="Comment Subject Char"/>
    <w:basedOn w:val="CommentTextChar"/>
    <w:link w:val="CommentSubject"/>
    <w:uiPriority w:val="99"/>
    <w:semiHidden/>
    <w:rsid w:val="00E76CCA"/>
    <w:rPr>
      <w:rFonts w:ascii="Calibri" w:hAnsi="Calibri"/>
      <w:b/>
      <w:bCs/>
      <w:sz w:val="20"/>
      <w:szCs w:val="20"/>
    </w:rPr>
  </w:style>
  <w:style w:type="paragraph" w:styleId="Revision">
    <w:name w:val="Revision"/>
    <w:hidden/>
    <w:uiPriority w:val="99"/>
    <w:semiHidden/>
    <w:rsid w:val="00505E3D"/>
    <w:pPr>
      <w:spacing w:after="0" w:line="240" w:lineRule="auto"/>
    </w:pPr>
    <w:rPr>
      <w:rFonts w:ascii="Calibri" w:hAnsi="Calibri"/>
    </w:rPr>
  </w:style>
  <w:style w:type="paragraph" w:styleId="TOC3">
    <w:name w:val="toc 3"/>
    <w:basedOn w:val="Normal"/>
    <w:next w:val="Normal"/>
    <w:autoRedefine/>
    <w:uiPriority w:val="39"/>
    <w:unhideWhenUsed/>
    <w:rsid w:val="008B429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90636">
      <w:bodyDiv w:val="1"/>
      <w:marLeft w:val="0"/>
      <w:marRight w:val="0"/>
      <w:marTop w:val="0"/>
      <w:marBottom w:val="0"/>
      <w:divBdr>
        <w:top w:val="none" w:sz="0" w:space="0" w:color="auto"/>
        <w:left w:val="none" w:sz="0" w:space="0" w:color="auto"/>
        <w:bottom w:val="none" w:sz="0" w:space="0" w:color="auto"/>
        <w:right w:val="none" w:sz="0" w:space="0" w:color="auto"/>
      </w:divBdr>
    </w:div>
    <w:div w:id="316231316">
      <w:bodyDiv w:val="1"/>
      <w:marLeft w:val="0"/>
      <w:marRight w:val="0"/>
      <w:marTop w:val="0"/>
      <w:marBottom w:val="0"/>
      <w:divBdr>
        <w:top w:val="none" w:sz="0" w:space="0" w:color="auto"/>
        <w:left w:val="none" w:sz="0" w:space="0" w:color="auto"/>
        <w:bottom w:val="none" w:sz="0" w:space="0" w:color="auto"/>
        <w:right w:val="none" w:sz="0" w:space="0" w:color="auto"/>
      </w:divBdr>
      <w:divsChild>
        <w:div w:id="1182471840">
          <w:marLeft w:val="0"/>
          <w:marRight w:val="0"/>
          <w:marTop w:val="0"/>
          <w:marBottom w:val="0"/>
          <w:divBdr>
            <w:top w:val="none" w:sz="0" w:space="0" w:color="auto"/>
            <w:left w:val="none" w:sz="0" w:space="0" w:color="auto"/>
            <w:bottom w:val="none" w:sz="0" w:space="0" w:color="auto"/>
            <w:right w:val="none" w:sz="0" w:space="0" w:color="auto"/>
          </w:divBdr>
        </w:div>
      </w:divsChild>
    </w:div>
    <w:div w:id="446462678">
      <w:bodyDiv w:val="1"/>
      <w:marLeft w:val="0"/>
      <w:marRight w:val="0"/>
      <w:marTop w:val="0"/>
      <w:marBottom w:val="0"/>
      <w:divBdr>
        <w:top w:val="none" w:sz="0" w:space="0" w:color="auto"/>
        <w:left w:val="none" w:sz="0" w:space="0" w:color="auto"/>
        <w:bottom w:val="none" w:sz="0" w:space="0" w:color="auto"/>
        <w:right w:val="none" w:sz="0" w:space="0" w:color="auto"/>
      </w:divBdr>
    </w:div>
    <w:div w:id="579490065">
      <w:bodyDiv w:val="1"/>
      <w:marLeft w:val="0"/>
      <w:marRight w:val="0"/>
      <w:marTop w:val="0"/>
      <w:marBottom w:val="0"/>
      <w:divBdr>
        <w:top w:val="none" w:sz="0" w:space="0" w:color="auto"/>
        <w:left w:val="none" w:sz="0" w:space="0" w:color="auto"/>
        <w:bottom w:val="none" w:sz="0" w:space="0" w:color="auto"/>
        <w:right w:val="none" w:sz="0" w:space="0" w:color="auto"/>
      </w:divBdr>
    </w:div>
    <w:div w:id="973292740">
      <w:bodyDiv w:val="1"/>
      <w:marLeft w:val="0"/>
      <w:marRight w:val="0"/>
      <w:marTop w:val="0"/>
      <w:marBottom w:val="0"/>
      <w:divBdr>
        <w:top w:val="none" w:sz="0" w:space="0" w:color="auto"/>
        <w:left w:val="none" w:sz="0" w:space="0" w:color="auto"/>
        <w:bottom w:val="none" w:sz="0" w:space="0" w:color="auto"/>
        <w:right w:val="none" w:sz="0" w:space="0" w:color="auto"/>
      </w:divBdr>
      <w:divsChild>
        <w:div w:id="1033534973">
          <w:marLeft w:val="446"/>
          <w:marRight w:val="0"/>
          <w:marTop w:val="0"/>
          <w:marBottom w:val="0"/>
          <w:divBdr>
            <w:top w:val="none" w:sz="0" w:space="0" w:color="auto"/>
            <w:left w:val="none" w:sz="0" w:space="0" w:color="auto"/>
            <w:bottom w:val="none" w:sz="0" w:space="0" w:color="auto"/>
            <w:right w:val="none" w:sz="0" w:space="0" w:color="auto"/>
          </w:divBdr>
        </w:div>
        <w:div w:id="1857326">
          <w:marLeft w:val="446"/>
          <w:marRight w:val="0"/>
          <w:marTop w:val="0"/>
          <w:marBottom w:val="0"/>
          <w:divBdr>
            <w:top w:val="none" w:sz="0" w:space="0" w:color="auto"/>
            <w:left w:val="none" w:sz="0" w:space="0" w:color="auto"/>
            <w:bottom w:val="none" w:sz="0" w:space="0" w:color="auto"/>
            <w:right w:val="none" w:sz="0" w:space="0" w:color="auto"/>
          </w:divBdr>
        </w:div>
        <w:div w:id="923688299">
          <w:marLeft w:val="446"/>
          <w:marRight w:val="0"/>
          <w:marTop w:val="0"/>
          <w:marBottom w:val="0"/>
          <w:divBdr>
            <w:top w:val="none" w:sz="0" w:space="0" w:color="auto"/>
            <w:left w:val="none" w:sz="0" w:space="0" w:color="auto"/>
            <w:bottom w:val="none" w:sz="0" w:space="0" w:color="auto"/>
            <w:right w:val="none" w:sz="0" w:space="0" w:color="auto"/>
          </w:divBdr>
        </w:div>
        <w:div w:id="1585190635">
          <w:marLeft w:val="446"/>
          <w:marRight w:val="0"/>
          <w:marTop w:val="0"/>
          <w:marBottom w:val="0"/>
          <w:divBdr>
            <w:top w:val="none" w:sz="0" w:space="0" w:color="auto"/>
            <w:left w:val="none" w:sz="0" w:space="0" w:color="auto"/>
            <w:bottom w:val="none" w:sz="0" w:space="0" w:color="auto"/>
            <w:right w:val="none" w:sz="0" w:space="0" w:color="auto"/>
          </w:divBdr>
        </w:div>
      </w:divsChild>
    </w:div>
    <w:div w:id="1138377827">
      <w:bodyDiv w:val="1"/>
      <w:marLeft w:val="0"/>
      <w:marRight w:val="0"/>
      <w:marTop w:val="0"/>
      <w:marBottom w:val="0"/>
      <w:divBdr>
        <w:top w:val="none" w:sz="0" w:space="0" w:color="auto"/>
        <w:left w:val="none" w:sz="0" w:space="0" w:color="auto"/>
        <w:bottom w:val="none" w:sz="0" w:space="0" w:color="auto"/>
        <w:right w:val="none" w:sz="0" w:space="0" w:color="auto"/>
      </w:divBdr>
    </w:div>
    <w:div w:id="1303074109">
      <w:bodyDiv w:val="1"/>
      <w:marLeft w:val="0"/>
      <w:marRight w:val="0"/>
      <w:marTop w:val="0"/>
      <w:marBottom w:val="0"/>
      <w:divBdr>
        <w:top w:val="none" w:sz="0" w:space="0" w:color="auto"/>
        <w:left w:val="none" w:sz="0" w:space="0" w:color="auto"/>
        <w:bottom w:val="none" w:sz="0" w:space="0" w:color="auto"/>
        <w:right w:val="none" w:sz="0" w:space="0" w:color="auto"/>
      </w:divBdr>
    </w:div>
    <w:div w:id="1373459601">
      <w:bodyDiv w:val="1"/>
      <w:marLeft w:val="0"/>
      <w:marRight w:val="0"/>
      <w:marTop w:val="0"/>
      <w:marBottom w:val="0"/>
      <w:divBdr>
        <w:top w:val="none" w:sz="0" w:space="0" w:color="auto"/>
        <w:left w:val="none" w:sz="0" w:space="0" w:color="auto"/>
        <w:bottom w:val="none" w:sz="0" w:space="0" w:color="auto"/>
        <w:right w:val="none" w:sz="0" w:space="0" w:color="auto"/>
      </w:divBdr>
    </w:div>
    <w:div w:id="1424571424">
      <w:bodyDiv w:val="1"/>
      <w:marLeft w:val="0"/>
      <w:marRight w:val="0"/>
      <w:marTop w:val="0"/>
      <w:marBottom w:val="0"/>
      <w:divBdr>
        <w:top w:val="none" w:sz="0" w:space="0" w:color="auto"/>
        <w:left w:val="none" w:sz="0" w:space="0" w:color="auto"/>
        <w:bottom w:val="none" w:sz="0" w:space="0" w:color="auto"/>
        <w:right w:val="none" w:sz="0" w:space="0" w:color="auto"/>
      </w:divBdr>
    </w:div>
    <w:div w:id="1487354690">
      <w:bodyDiv w:val="1"/>
      <w:marLeft w:val="0"/>
      <w:marRight w:val="0"/>
      <w:marTop w:val="0"/>
      <w:marBottom w:val="0"/>
      <w:divBdr>
        <w:top w:val="none" w:sz="0" w:space="0" w:color="auto"/>
        <w:left w:val="none" w:sz="0" w:space="0" w:color="auto"/>
        <w:bottom w:val="none" w:sz="0" w:space="0" w:color="auto"/>
        <w:right w:val="none" w:sz="0" w:space="0" w:color="auto"/>
      </w:divBdr>
      <w:divsChild>
        <w:div w:id="280889061">
          <w:marLeft w:val="0"/>
          <w:marRight w:val="0"/>
          <w:marTop w:val="0"/>
          <w:marBottom w:val="0"/>
          <w:divBdr>
            <w:top w:val="none" w:sz="0" w:space="0" w:color="auto"/>
            <w:left w:val="none" w:sz="0" w:space="0" w:color="auto"/>
            <w:bottom w:val="none" w:sz="0" w:space="0" w:color="auto"/>
            <w:right w:val="none" w:sz="0" w:space="0" w:color="auto"/>
          </w:divBdr>
        </w:div>
        <w:div w:id="2145928815">
          <w:marLeft w:val="0"/>
          <w:marRight w:val="0"/>
          <w:marTop w:val="0"/>
          <w:marBottom w:val="0"/>
          <w:divBdr>
            <w:top w:val="none" w:sz="0" w:space="0" w:color="auto"/>
            <w:left w:val="none" w:sz="0" w:space="0" w:color="auto"/>
            <w:bottom w:val="none" w:sz="0" w:space="0" w:color="auto"/>
            <w:right w:val="none" w:sz="0" w:space="0" w:color="auto"/>
          </w:divBdr>
        </w:div>
        <w:div w:id="942809720">
          <w:marLeft w:val="0"/>
          <w:marRight w:val="0"/>
          <w:marTop w:val="0"/>
          <w:marBottom w:val="0"/>
          <w:divBdr>
            <w:top w:val="none" w:sz="0" w:space="0" w:color="auto"/>
            <w:left w:val="none" w:sz="0" w:space="0" w:color="auto"/>
            <w:bottom w:val="none" w:sz="0" w:space="0" w:color="auto"/>
            <w:right w:val="none" w:sz="0" w:space="0" w:color="auto"/>
          </w:divBdr>
        </w:div>
        <w:div w:id="1523201232">
          <w:marLeft w:val="0"/>
          <w:marRight w:val="0"/>
          <w:marTop w:val="0"/>
          <w:marBottom w:val="0"/>
          <w:divBdr>
            <w:top w:val="none" w:sz="0" w:space="0" w:color="auto"/>
            <w:left w:val="none" w:sz="0" w:space="0" w:color="auto"/>
            <w:bottom w:val="none" w:sz="0" w:space="0" w:color="auto"/>
            <w:right w:val="none" w:sz="0" w:space="0" w:color="auto"/>
          </w:divBdr>
        </w:div>
        <w:div w:id="399526852">
          <w:marLeft w:val="0"/>
          <w:marRight w:val="0"/>
          <w:marTop w:val="0"/>
          <w:marBottom w:val="0"/>
          <w:divBdr>
            <w:top w:val="none" w:sz="0" w:space="0" w:color="auto"/>
            <w:left w:val="none" w:sz="0" w:space="0" w:color="auto"/>
            <w:bottom w:val="none" w:sz="0" w:space="0" w:color="auto"/>
            <w:right w:val="none" w:sz="0" w:space="0" w:color="auto"/>
          </w:divBdr>
        </w:div>
        <w:div w:id="1077555429">
          <w:marLeft w:val="0"/>
          <w:marRight w:val="0"/>
          <w:marTop w:val="0"/>
          <w:marBottom w:val="0"/>
          <w:divBdr>
            <w:top w:val="none" w:sz="0" w:space="0" w:color="auto"/>
            <w:left w:val="none" w:sz="0" w:space="0" w:color="auto"/>
            <w:bottom w:val="none" w:sz="0" w:space="0" w:color="auto"/>
            <w:right w:val="none" w:sz="0" w:space="0" w:color="auto"/>
          </w:divBdr>
        </w:div>
        <w:div w:id="1584030133">
          <w:marLeft w:val="0"/>
          <w:marRight w:val="0"/>
          <w:marTop w:val="0"/>
          <w:marBottom w:val="0"/>
          <w:divBdr>
            <w:top w:val="none" w:sz="0" w:space="0" w:color="auto"/>
            <w:left w:val="none" w:sz="0" w:space="0" w:color="auto"/>
            <w:bottom w:val="none" w:sz="0" w:space="0" w:color="auto"/>
            <w:right w:val="none" w:sz="0" w:space="0" w:color="auto"/>
          </w:divBdr>
        </w:div>
        <w:div w:id="1954169576">
          <w:marLeft w:val="0"/>
          <w:marRight w:val="0"/>
          <w:marTop w:val="0"/>
          <w:marBottom w:val="0"/>
          <w:divBdr>
            <w:top w:val="none" w:sz="0" w:space="0" w:color="auto"/>
            <w:left w:val="none" w:sz="0" w:space="0" w:color="auto"/>
            <w:bottom w:val="none" w:sz="0" w:space="0" w:color="auto"/>
            <w:right w:val="none" w:sz="0" w:space="0" w:color="auto"/>
          </w:divBdr>
        </w:div>
      </w:divsChild>
    </w:div>
    <w:div w:id="1735735452">
      <w:bodyDiv w:val="1"/>
      <w:marLeft w:val="0"/>
      <w:marRight w:val="0"/>
      <w:marTop w:val="0"/>
      <w:marBottom w:val="0"/>
      <w:divBdr>
        <w:top w:val="none" w:sz="0" w:space="0" w:color="auto"/>
        <w:left w:val="none" w:sz="0" w:space="0" w:color="auto"/>
        <w:bottom w:val="none" w:sz="0" w:space="0" w:color="auto"/>
        <w:right w:val="none" w:sz="0" w:space="0" w:color="auto"/>
      </w:divBdr>
    </w:div>
    <w:div w:id="1984656888">
      <w:bodyDiv w:val="1"/>
      <w:marLeft w:val="0"/>
      <w:marRight w:val="0"/>
      <w:marTop w:val="0"/>
      <w:marBottom w:val="0"/>
      <w:divBdr>
        <w:top w:val="none" w:sz="0" w:space="0" w:color="auto"/>
        <w:left w:val="none" w:sz="0" w:space="0" w:color="auto"/>
        <w:bottom w:val="none" w:sz="0" w:space="0" w:color="auto"/>
        <w:right w:val="none" w:sz="0" w:space="0" w:color="auto"/>
      </w:divBdr>
      <w:divsChild>
        <w:div w:id="1000818827">
          <w:marLeft w:val="0"/>
          <w:marRight w:val="0"/>
          <w:marTop w:val="0"/>
          <w:marBottom w:val="0"/>
          <w:divBdr>
            <w:top w:val="none" w:sz="0" w:space="0" w:color="auto"/>
            <w:left w:val="none" w:sz="0" w:space="0" w:color="auto"/>
            <w:bottom w:val="none" w:sz="0" w:space="0" w:color="auto"/>
            <w:right w:val="none" w:sz="0" w:space="0" w:color="auto"/>
          </w:divBdr>
        </w:div>
        <w:div w:id="655763626">
          <w:marLeft w:val="0"/>
          <w:marRight w:val="0"/>
          <w:marTop w:val="0"/>
          <w:marBottom w:val="0"/>
          <w:divBdr>
            <w:top w:val="none" w:sz="0" w:space="0" w:color="auto"/>
            <w:left w:val="none" w:sz="0" w:space="0" w:color="auto"/>
            <w:bottom w:val="none" w:sz="0" w:space="0" w:color="auto"/>
            <w:right w:val="none" w:sz="0" w:space="0" w:color="auto"/>
          </w:divBdr>
        </w:div>
        <w:div w:id="216746446">
          <w:marLeft w:val="0"/>
          <w:marRight w:val="0"/>
          <w:marTop w:val="0"/>
          <w:marBottom w:val="0"/>
          <w:divBdr>
            <w:top w:val="none" w:sz="0" w:space="0" w:color="auto"/>
            <w:left w:val="none" w:sz="0" w:space="0" w:color="auto"/>
            <w:bottom w:val="none" w:sz="0" w:space="0" w:color="auto"/>
            <w:right w:val="none" w:sz="0" w:space="0" w:color="auto"/>
          </w:divBdr>
        </w:div>
        <w:div w:id="290063031">
          <w:marLeft w:val="0"/>
          <w:marRight w:val="0"/>
          <w:marTop w:val="0"/>
          <w:marBottom w:val="0"/>
          <w:divBdr>
            <w:top w:val="none" w:sz="0" w:space="0" w:color="auto"/>
            <w:left w:val="none" w:sz="0" w:space="0" w:color="auto"/>
            <w:bottom w:val="none" w:sz="0" w:space="0" w:color="auto"/>
            <w:right w:val="none" w:sz="0" w:space="0" w:color="auto"/>
          </w:divBdr>
        </w:div>
        <w:div w:id="674112759">
          <w:marLeft w:val="0"/>
          <w:marRight w:val="0"/>
          <w:marTop w:val="0"/>
          <w:marBottom w:val="0"/>
          <w:divBdr>
            <w:top w:val="none" w:sz="0" w:space="0" w:color="auto"/>
            <w:left w:val="none" w:sz="0" w:space="0" w:color="auto"/>
            <w:bottom w:val="none" w:sz="0" w:space="0" w:color="auto"/>
            <w:right w:val="none" w:sz="0" w:space="0" w:color="auto"/>
          </w:divBdr>
        </w:div>
        <w:div w:id="1018384571">
          <w:marLeft w:val="0"/>
          <w:marRight w:val="0"/>
          <w:marTop w:val="0"/>
          <w:marBottom w:val="0"/>
          <w:divBdr>
            <w:top w:val="none" w:sz="0" w:space="0" w:color="auto"/>
            <w:left w:val="none" w:sz="0" w:space="0" w:color="auto"/>
            <w:bottom w:val="none" w:sz="0" w:space="0" w:color="auto"/>
            <w:right w:val="none" w:sz="0" w:space="0" w:color="auto"/>
          </w:divBdr>
        </w:div>
        <w:div w:id="768156855">
          <w:marLeft w:val="0"/>
          <w:marRight w:val="0"/>
          <w:marTop w:val="0"/>
          <w:marBottom w:val="0"/>
          <w:divBdr>
            <w:top w:val="none" w:sz="0" w:space="0" w:color="auto"/>
            <w:left w:val="none" w:sz="0" w:space="0" w:color="auto"/>
            <w:bottom w:val="none" w:sz="0" w:space="0" w:color="auto"/>
            <w:right w:val="none" w:sz="0" w:space="0" w:color="auto"/>
          </w:divBdr>
        </w:div>
        <w:div w:id="323044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anube-region.eu/K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mrvar.fdv.uni-lj.si/pajek/"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B9A61B-408B-47B5-88CA-404F23A9F3FB}" type="doc">
      <dgm:prSet loTypeId="urn:microsoft.com/office/officeart/2005/8/layout/process1" loCatId="process" qsTypeId="urn:microsoft.com/office/officeart/2005/8/quickstyle/simple1" qsCatId="simple" csTypeId="urn:microsoft.com/office/officeart/2005/8/colors/colorful5" csCatId="colorful" phldr="1"/>
      <dgm:spPr/>
      <dgm:t>
        <a:bodyPr/>
        <a:lstStyle/>
        <a:p>
          <a:endParaRPr lang="en-US"/>
        </a:p>
      </dgm:t>
    </dgm:pt>
    <dgm:pt modelId="{53EA1671-1F3F-46A6-9847-FB8087E28393}">
      <dgm:prSet phldrT="[Text]" custT="1"/>
      <dgm:spPr>
        <a:xfrm>
          <a:off x="2411" y="0"/>
          <a:ext cx="1054149" cy="586739"/>
        </a:xfrm>
        <a:prstGeom prst="roundRect">
          <a:avLst>
            <a:gd name="adj" fmla="val 10000"/>
          </a:avLst>
        </a:prstGeom>
      </dgm:spPr>
      <dgm:t>
        <a:bodyPr/>
        <a:lstStyle/>
        <a:p>
          <a:pPr algn="ctr">
            <a:buNone/>
          </a:pPr>
          <a:r>
            <a:rPr lang="en-US" sz="1200" dirty="0">
              <a:latin typeface="+mn-lt"/>
              <a:ea typeface="+mn-ea"/>
              <a:cs typeface="Times New Roman" panose="02020603050405020304" pitchFamily="18" charset="0"/>
            </a:rPr>
            <a:t>List compilation</a:t>
          </a:r>
        </a:p>
      </dgm:t>
    </dgm:pt>
    <dgm:pt modelId="{0FB480A9-FF8B-492F-B7F6-F33976C2D809}" type="parTrans" cxnId="{D2ADE23C-8C56-440A-A625-AF93335B7854}">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9FE30608-517B-4931-9810-76C543F0FDB8}" type="sibTrans" cxnId="{D2ADE23C-8C56-440A-A625-AF93335B7854}">
      <dgm:prSet custT="1"/>
      <dgm:spPr>
        <a:xfrm>
          <a:off x="1161975" y="162655"/>
          <a:ext cx="223479" cy="261429"/>
        </a:xfrm>
        <a:prstGeom prst="rightArrow">
          <a:avLst>
            <a:gd name="adj1" fmla="val 60000"/>
            <a:gd name="adj2" fmla="val 50000"/>
          </a:avLst>
        </a:prstGeom>
      </dgm:spPr>
      <dgm:t>
        <a:bodyPr/>
        <a:lstStyle/>
        <a:p>
          <a:pPr algn="ct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0193476-457C-45AC-8E26-9B26D2C67934}">
      <dgm:prSet phldrT="[Text]" custT="1"/>
      <dgm:spPr>
        <a:xfrm>
          <a:off x="1478220" y="0"/>
          <a:ext cx="1054149" cy="586739"/>
        </a:xfrm>
        <a:prstGeom prst="roundRect">
          <a:avLst>
            <a:gd name="adj" fmla="val 10000"/>
          </a:avLst>
        </a:prstGeom>
      </dgm:spPr>
      <dgm:t>
        <a:bodyPr/>
        <a:lstStyle/>
        <a:p>
          <a:pPr algn="ctr">
            <a:buNone/>
          </a:pPr>
          <a:r>
            <a:rPr lang="en-GB" sz="1200" dirty="0">
              <a:latin typeface="+mn-lt"/>
              <a:ea typeface="+mn-ea"/>
              <a:cs typeface="Times New Roman" panose="02020603050405020304" pitchFamily="18" charset="0"/>
            </a:rPr>
            <a:t>Frequency Analysis</a:t>
          </a:r>
          <a:endParaRPr lang="en-US" sz="1200" dirty="0">
            <a:latin typeface="+mn-lt"/>
            <a:ea typeface="+mn-ea"/>
            <a:cs typeface="Times New Roman" panose="02020603050405020304" pitchFamily="18" charset="0"/>
          </a:endParaRPr>
        </a:p>
      </dgm:t>
    </dgm:pt>
    <dgm:pt modelId="{4E78D89D-CD32-45AC-AD5F-59950D09E5B5}" type="parTrans" cxnId="{6C65BEC6-CDC7-4E76-B009-E0F8DFC86152}">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F141E94E-C29F-4004-846B-541180EE12AB}" type="sibTrans" cxnId="{6C65BEC6-CDC7-4E76-B009-E0F8DFC86152}">
      <dgm:prSet custT="1"/>
      <dgm:spPr>
        <a:xfrm>
          <a:off x="2637785" y="162655"/>
          <a:ext cx="223479" cy="261429"/>
        </a:xfrm>
        <a:prstGeom prst="rightArrow">
          <a:avLst>
            <a:gd name="adj1" fmla="val 60000"/>
            <a:gd name="adj2" fmla="val 50000"/>
          </a:avLst>
        </a:prstGeom>
      </dgm:spPr>
      <dgm:t>
        <a:bodyPr/>
        <a:lstStyle/>
        <a:p>
          <a:pPr algn="ct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A9FC402-03E3-47A6-93A5-BDEF12FC9B45}">
      <dgm:prSet custT="1"/>
      <dgm:spPr>
        <a:xfrm>
          <a:off x="2954029" y="0"/>
          <a:ext cx="1054149" cy="586739"/>
        </a:xfrm>
        <a:prstGeom prst="roundRect">
          <a:avLst>
            <a:gd name="adj" fmla="val 10000"/>
          </a:avLst>
        </a:prstGeom>
      </dgm:spPr>
      <dgm:t>
        <a:bodyPr/>
        <a:lstStyle/>
        <a:p>
          <a:pPr algn="ctr">
            <a:buNone/>
          </a:pPr>
          <a:r>
            <a:rPr lang="en-GB" sz="1200" dirty="0">
              <a:latin typeface="+mn-lt"/>
              <a:ea typeface="+mn-ea"/>
              <a:cs typeface="Times New Roman" panose="02020603050405020304" pitchFamily="18" charset="0"/>
            </a:rPr>
            <a:t>Similar Priority Areas Grouped </a:t>
          </a:r>
          <a:endParaRPr lang="en-US" sz="1200" dirty="0">
            <a:latin typeface="+mn-lt"/>
            <a:ea typeface="+mn-ea"/>
            <a:cs typeface="Times New Roman" panose="02020603050405020304" pitchFamily="18" charset="0"/>
          </a:endParaRPr>
        </a:p>
      </dgm:t>
    </dgm:pt>
    <dgm:pt modelId="{7E1BC06A-11EA-4DDF-AF62-573EE09AC8F2}" type="parTrans" cxnId="{2A86577D-2824-4241-9ED0-B8F03AC202A2}">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2CF0CA6A-BD47-4A5C-B35A-D1B2B06DBF92}" type="sibTrans" cxnId="{2A86577D-2824-4241-9ED0-B8F03AC202A2}">
      <dgm:prSet custT="1"/>
      <dgm:spPr>
        <a:xfrm>
          <a:off x="4113594" y="162655"/>
          <a:ext cx="223479" cy="261429"/>
        </a:xfrm>
        <a:prstGeom prst="rightArrow">
          <a:avLst>
            <a:gd name="adj1" fmla="val 60000"/>
            <a:gd name="adj2" fmla="val 50000"/>
          </a:avLst>
        </a:prstGeom>
      </dgm:spPr>
      <dgm:t>
        <a:bodyPr/>
        <a:lstStyle/>
        <a:p>
          <a:pPr algn="ct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6473D72-19CD-46FA-A803-5F38948E0A59}">
      <dgm:prSet custT="1"/>
      <dgm:spPr>
        <a:xfrm>
          <a:off x="4429839" y="0"/>
          <a:ext cx="1054149" cy="586739"/>
        </a:xfrm>
        <a:prstGeom prst="roundRect">
          <a:avLst>
            <a:gd name="adj" fmla="val 10000"/>
          </a:avLst>
        </a:prstGeom>
      </dgm:spPr>
      <dgm:t>
        <a:bodyPr/>
        <a:lstStyle/>
        <a:p>
          <a:pPr algn="ctr">
            <a:buNone/>
          </a:pPr>
          <a:r>
            <a:rPr lang="en-US" sz="1200" dirty="0">
              <a:latin typeface="+mn-lt"/>
              <a:ea typeface="+mn-ea"/>
              <a:cs typeface="Times New Roman" panose="02020603050405020304" pitchFamily="18" charset="0"/>
            </a:rPr>
            <a:t>Ranking</a:t>
          </a:r>
        </a:p>
      </dgm:t>
    </dgm:pt>
    <dgm:pt modelId="{2467DE66-A4B5-4E16-AB13-26EB4B869AD1}" type="parTrans" cxnId="{ED1551EB-8DC3-41C7-B7C3-CF8562C28EC4}">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508B0506-99A3-4B16-AB31-020C1AE77BCD}" type="sibTrans" cxnId="{ED1551EB-8DC3-41C7-B7C3-CF8562C28EC4}">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EBB40251-ED9E-4076-8910-AA8345448E11}" type="pres">
      <dgm:prSet presAssocID="{8AB9A61B-408B-47B5-88CA-404F23A9F3FB}" presName="Name0" presStyleCnt="0">
        <dgm:presLayoutVars>
          <dgm:dir/>
          <dgm:resizeHandles val="exact"/>
        </dgm:presLayoutVars>
      </dgm:prSet>
      <dgm:spPr/>
    </dgm:pt>
    <dgm:pt modelId="{ED96669D-4130-40B8-8070-91098D17D6F7}" type="pres">
      <dgm:prSet presAssocID="{53EA1671-1F3F-46A6-9847-FB8087E28393}" presName="node" presStyleLbl="node1" presStyleIdx="0" presStyleCnt="4">
        <dgm:presLayoutVars>
          <dgm:bulletEnabled val="1"/>
        </dgm:presLayoutVars>
      </dgm:prSet>
      <dgm:spPr/>
    </dgm:pt>
    <dgm:pt modelId="{BBBF680D-0A41-4CAE-AC17-A2192781D79E}" type="pres">
      <dgm:prSet presAssocID="{9FE30608-517B-4931-9810-76C543F0FDB8}" presName="sibTrans" presStyleLbl="sibTrans2D1" presStyleIdx="0" presStyleCnt="3"/>
      <dgm:spPr/>
    </dgm:pt>
    <dgm:pt modelId="{5307420D-83F3-463B-BC29-4DA3BAF203FF}" type="pres">
      <dgm:prSet presAssocID="{9FE30608-517B-4931-9810-76C543F0FDB8}" presName="connectorText" presStyleLbl="sibTrans2D1" presStyleIdx="0" presStyleCnt="3"/>
      <dgm:spPr/>
    </dgm:pt>
    <dgm:pt modelId="{3B1652AA-D4BA-42EC-B720-0C221496B277}" type="pres">
      <dgm:prSet presAssocID="{60193476-457C-45AC-8E26-9B26D2C67934}" presName="node" presStyleLbl="node1" presStyleIdx="1" presStyleCnt="4">
        <dgm:presLayoutVars>
          <dgm:bulletEnabled val="1"/>
        </dgm:presLayoutVars>
      </dgm:prSet>
      <dgm:spPr/>
    </dgm:pt>
    <dgm:pt modelId="{E5968257-A863-4C7C-831D-041553993BFC}" type="pres">
      <dgm:prSet presAssocID="{F141E94E-C29F-4004-846B-541180EE12AB}" presName="sibTrans" presStyleLbl="sibTrans2D1" presStyleIdx="1" presStyleCnt="3"/>
      <dgm:spPr/>
    </dgm:pt>
    <dgm:pt modelId="{62645E28-935E-4D9F-A958-EFA0DD9D4DE9}" type="pres">
      <dgm:prSet presAssocID="{F141E94E-C29F-4004-846B-541180EE12AB}" presName="connectorText" presStyleLbl="sibTrans2D1" presStyleIdx="1" presStyleCnt="3"/>
      <dgm:spPr/>
    </dgm:pt>
    <dgm:pt modelId="{A6739FD9-1A20-4583-82CE-F229C140B66F}" type="pres">
      <dgm:prSet presAssocID="{7A9FC402-03E3-47A6-93A5-BDEF12FC9B45}" presName="node" presStyleLbl="node1" presStyleIdx="2" presStyleCnt="4">
        <dgm:presLayoutVars>
          <dgm:bulletEnabled val="1"/>
        </dgm:presLayoutVars>
      </dgm:prSet>
      <dgm:spPr/>
    </dgm:pt>
    <dgm:pt modelId="{2A3FD58D-53C6-43B0-A864-39B297B484CF}" type="pres">
      <dgm:prSet presAssocID="{2CF0CA6A-BD47-4A5C-B35A-D1B2B06DBF92}" presName="sibTrans" presStyleLbl="sibTrans2D1" presStyleIdx="2" presStyleCnt="3"/>
      <dgm:spPr/>
    </dgm:pt>
    <dgm:pt modelId="{6F82F625-3ED5-41C2-87A8-2D37C043C155}" type="pres">
      <dgm:prSet presAssocID="{2CF0CA6A-BD47-4A5C-B35A-D1B2B06DBF92}" presName="connectorText" presStyleLbl="sibTrans2D1" presStyleIdx="2" presStyleCnt="3"/>
      <dgm:spPr/>
    </dgm:pt>
    <dgm:pt modelId="{5DC2F21D-EE4F-4A32-91CE-8FA1D6EEE2CC}" type="pres">
      <dgm:prSet presAssocID="{66473D72-19CD-46FA-A803-5F38948E0A59}" presName="node" presStyleLbl="node1" presStyleIdx="3" presStyleCnt="4">
        <dgm:presLayoutVars>
          <dgm:bulletEnabled val="1"/>
        </dgm:presLayoutVars>
      </dgm:prSet>
      <dgm:spPr/>
    </dgm:pt>
  </dgm:ptLst>
  <dgm:cxnLst>
    <dgm:cxn modelId="{6DDAE20F-00F9-441E-BAF6-E68A39E8E80E}" type="presOf" srcId="{66473D72-19CD-46FA-A803-5F38948E0A59}" destId="{5DC2F21D-EE4F-4A32-91CE-8FA1D6EEE2CC}" srcOrd="0" destOrd="0" presId="urn:microsoft.com/office/officeart/2005/8/layout/process1"/>
    <dgm:cxn modelId="{383D6E20-CC2D-44DD-8780-636177EADE76}" type="presOf" srcId="{9FE30608-517B-4931-9810-76C543F0FDB8}" destId="{5307420D-83F3-463B-BC29-4DA3BAF203FF}" srcOrd="1" destOrd="0" presId="urn:microsoft.com/office/officeart/2005/8/layout/process1"/>
    <dgm:cxn modelId="{D2ADE23C-8C56-440A-A625-AF93335B7854}" srcId="{8AB9A61B-408B-47B5-88CA-404F23A9F3FB}" destId="{53EA1671-1F3F-46A6-9847-FB8087E28393}" srcOrd="0" destOrd="0" parTransId="{0FB480A9-FF8B-492F-B7F6-F33976C2D809}" sibTransId="{9FE30608-517B-4931-9810-76C543F0FDB8}"/>
    <dgm:cxn modelId="{1CDD1963-886A-4A63-82B5-E8934390FF82}" type="presOf" srcId="{9FE30608-517B-4931-9810-76C543F0FDB8}" destId="{BBBF680D-0A41-4CAE-AC17-A2192781D79E}" srcOrd="0" destOrd="0" presId="urn:microsoft.com/office/officeart/2005/8/layout/process1"/>
    <dgm:cxn modelId="{FAB77E68-BF2A-4489-BB74-E83313297DAB}" type="presOf" srcId="{F141E94E-C29F-4004-846B-541180EE12AB}" destId="{E5968257-A863-4C7C-831D-041553993BFC}" srcOrd="0" destOrd="0" presId="urn:microsoft.com/office/officeart/2005/8/layout/process1"/>
    <dgm:cxn modelId="{2A86577D-2824-4241-9ED0-B8F03AC202A2}" srcId="{8AB9A61B-408B-47B5-88CA-404F23A9F3FB}" destId="{7A9FC402-03E3-47A6-93A5-BDEF12FC9B45}" srcOrd="2" destOrd="0" parTransId="{7E1BC06A-11EA-4DDF-AF62-573EE09AC8F2}" sibTransId="{2CF0CA6A-BD47-4A5C-B35A-D1B2B06DBF92}"/>
    <dgm:cxn modelId="{59444482-966F-4A9A-BAA3-FE1B1F259FF8}" type="presOf" srcId="{2CF0CA6A-BD47-4A5C-B35A-D1B2B06DBF92}" destId="{6F82F625-3ED5-41C2-87A8-2D37C043C155}" srcOrd="1" destOrd="0" presId="urn:microsoft.com/office/officeart/2005/8/layout/process1"/>
    <dgm:cxn modelId="{04206E91-45D0-4D27-9657-BAD0A1353ECF}" type="presOf" srcId="{53EA1671-1F3F-46A6-9847-FB8087E28393}" destId="{ED96669D-4130-40B8-8070-91098D17D6F7}" srcOrd="0" destOrd="0" presId="urn:microsoft.com/office/officeart/2005/8/layout/process1"/>
    <dgm:cxn modelId="{51AE37A5-AF41-4189-8D87-35D20E726D27}" type="presOf" srcId="{8AB9A61B-408B-47B5-88CA-404F23A9F3FB}" destId="{EBB40251-ED9E-4076-8910-AA8345448E11}" srcOrd="0" destOrd="0" presId="urn:microsoft.com/office/officeart/2005/8/layout/process1"/>
    <dgm:cxn modelId="{6BFCA9A8-A928-4EA3-B629-F5929A6C2FF1}" type="presOf" srcId="{2CF0CA6A-BD47-4A5C-B35A-D1B2B06DBF92}" destId="{2A3FD58D-53C6-43B0-A864-39B297B484CF}" srcOrd="0" destOrd="0" presId="urn:microsoft.com/office/officeart/2005/8/layout/process1"/>
    <dgm:cxn modelId="{0D2ACEB7-C4E5-4D4D-8EF8-A73DB7CC29F1}" type="presOf" srcId="{7A9FC402-03E3-47A6-93A5-BDEF12FC9B45}" destId="{A6739FD9-1A20-4583-82CE-F229C140B66F}" srcOrd="0" destOrd="0" presId="urn:microsoft.com/office/officeart/2005/8/layout/process1"/>
    <dgm:cxn modelId="{6C65BEC6-CDC7-4E76-B009-E0F8DFC86152}" srcId="{8AB9A61B-408B-47B5-88CA-404F23A9F3FB}" destId="{60193476-457C-45AC-8E26-9B26D2C67934}" srcOrd="1" destOrd="0" parTransId="{4E78D89D-CD32-45AC-AD5F-59950D09E5B5}" sibTransId="{F141E94E-C29F-4004-846B-541180EE12AB}"/>
    <dgm:cxn modelId="{ED1551EB-8DC3-41C7-B7C3-CF8562C28EC4}" srcId="{8AB9A61B-408B-47B5-88CA-404F23A9F3FB}" destId="{66473D72-19CD-46FA-A803-5F38948E0A59}" srcOrd="3" destOrd="0" parTransId="{2467DE66-A4B5-4E16-AB13-26EB4B869AD1}" sibTransId="{508B0506-99A3-4B16-AB31-020C1AE77BCD}"/>
    <dgm:cxn modelId="{EFAB51F1-DDEB-4F0C-A131-218BEC0072BF}" type="presOf" srcId="{60193476-457C-45AC-8E26-9B26D2C67934}" destId="{3B1652AA-D4BA-42EC-B720-0C221496B277}" srcOrd="0" destOrd="0" presId="urn:microsoft.com/office/officeart/2005/8/layout/process1"/>
    <dgm:cxn modelId="{B95B79FE-D137-469C-A4CF-D5AB2A94871B}" type="presOf" srcId="{F141E94E-C29F-4004-846B-541180EE12AB}" destId="{62645E28-935E-4D9F-A958-EFA0DD9D4DE9}" srcOrd="1" destOrd="0" presId="urn:microsoft.com/office/officeart/2005/8/layout/process1"/>
    <dgm:cxn modelId="{BD2BDCAE-10F4-4721-8007-08D5DECB1043}" type="presParOf" srcId="{EBB40251-ED9E-4076-8910-AA8345448E11}" destId="{ED96669D-4130-40B8-8070-91098D17D6F7}" srcOrd="0" destOrd="0" presId="urn:microsoft.com/office/officeart/2005/8/layout/process1"/>
    <dgm:cxn modelId="{6D5500F6-62A4-40B4-9455-96E8EF1D97F7}" type="presParOf" srcId="{EBB40251-ED9E-4076-8910-AA8345448E11}" destId="{BBBF680D-0A41-4CAE-AC17-A2192781D79E}" srcOrd="1" destOrd="0" presId="urn:microsoft.com/office/officeart/2005/8/layout/process1"/>
    <dgm:cxn modelId="{B4659826-190D-4839-9A2C-099A0B1A3ADA}" type="presParOf" srcId="{BBBF680D-0A41-4CAE-AC17-A2192781D79E}" destId="{5307420D-83F3-463B-BC29-4DA3BAF203FF}" srcOrd="0" destOrd="0" presId="urn:microsoft.com/office/officeart/2005/8/layout/process1"/>
    <dgm:cxn modelId="{D2DF7752-663E-456E-9B3B-8E91FB41101A}" type="presParOf" srcId="{EBB40251-ED9E-4076-8910-AA8345448E11}" destId="{3B1652AA-D4BA-42EC-B720-0C221496B277}" srcOrd="2" destOrd="0" presId="urn:microsoft.com/office/officeart/2005/8/layout/process1"/>
    <dgm:cxn modelId="{CC2EA9AB-BEED-4497-B030-5830939B478A}" type="presParOf" srcId="{EBB40251-ED9E-4076-8910-AA8345448E11}" destId="{E5968257-A863-4C7C-831D-041553993BFC}" srcOrd="3" destOrd="0" presId="urn:microsoft.com/office/officeart/2005/8/layout/process1"/>
    <dgm:cxn modelId="{9017A8E8-DFA3-4D98-9722-17EE99D4204E}" type="presParOf" srcId="{E5968257-A863-4C7C-831D-041553993BFC}" destId="{62645E28-935E-4D9F-A958-EFA0DD9D4DE9}" srcOrd="0" destOrd="0" presId="urn:microsoft.com/office/officeart/2005/8/layout/process1"/>
    <dgm:cxn modelId="{7A0F510F-EEFF-46C2-8B07-E1A453A81DB5}" type="presParOf" srcId="{EBB40251-ED9E-4076-8910-AA8345448E11}" destId="{A6739FD9-1A20-4583-82CE-F229C140B66F}" srcOrd="4" destOrd="0" presId="urn:microsoft.com/office/officeart/2005/8/layout/process1"/>
    <dgm:cxn modelId="{835A7BF8-7963-4319-A5AD-98DE359762CF}" type="presParOf" srcId="{EBB40251-ED9E-4076-8910-AA8345448E11}" destId="{2A3FD58D-53C6-43B0-A864-39B297B484CF}" srcOrd="5" destOrd="0" presId="urn:microsoft.com/office/officeart/2005/8/layout/process1"/>
    <dgm:cxn modelId="{255D4A08-AC33-498F-8B70-E762D3C5C8CF}" type="presParOf" srcId="{2A3FD58D-53C6-43B0-A864-39B297B484CF}" destId="{6F82F625-3ED5-41C2-87A8-2D37C043C155}" srcOrd="0" destOrd="0" presId="urn:microsoft.com/office/officeart/2005/8/layout/process1"/>
    <dgm:cxn modelId="{764EE749-D9AC-4287-8971-8C094C6462F2}" type="presParOf" srcId="{EBB40251-ED9E-4076-8910-AA8345448E11}" destId="{5DC2F21D-EE4F-4A32-91CE-8FA1D6EEE2CC}" srcOrd="6"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96669D-4130-40B8-8070-91098D17D6F7}">
      <dsp:nvSpPr>
        <dsp:cNvPr id="0" name=""/>
        <dsp:cNvSpPr/>
      </dsp:nvSpPr>
      <dsp:spPr>
        <a:xfrm>
          <a:off x="2618" y="159442"/>
          <a:ext cx="1144923" cy="68695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ea typeface="+mn-ea"/>
              <a:cs typeface="Times New Roman" panose="02020603050405020304" pitchFamily="18" charset="0"/>
            </a:rPr>
            <a:t>List compilation</a:t>
          </a:r>
        </a:p>
      </dsp:txBody>
      <dsp:txXfrm>
        <a:off x="22738" y="179562"/>
        <a:ext cx="1104683" cy="646714"/>
      </dsp:txXfrm>
    </dsp:sp>
    <dsp:sp modelId="{BBBF680D-0A41-4CAE-AC17-A2192781D79E}">
      <dsp:nvSpPr>
        <dsp:cNvPr id="0" name=""/>
        <dsp:cNvSpPr/>
      </dsp:nvSpPr>
      <dsp:spPr>
        <a:xfrm>
          <a:off x="1262034" y="360949"/>
          <a:ext cx="242723" cy="28394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62034" y="417737"/>
        <a:ext cx="169906" cy="170365"/>
      </dsp:txXfrm>
    </dsp:sp>
    <dsp:sp modelId="{3B1652AA-D4BA-42EC-B720-0C221496B277}">
      <dsp:nvSpPr>
        <dsp:cNvPr id="0" name=""/>
        <dsp:cNvSpPr/>
      </dsp:nvSpPr>
      <dsp:spPr>
        <a:xfrm>
          <a:off x="1605511" y="159442"/>
          <a:ext cx="1144923" cy="686954"/>
        </a:xfrm>
        <a:prstGeom prst="roundRect">
          <a:avLst>
            <a:gd name="adj" fmla="val 10000"/>
          </a:avLst>
        </a:prstGeom>
        <a:solidFill>
          <a:schemeClr val="accent5">
            <a:hueOff val="-4050717"/>
            <a:satOff val="-27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mn-lt"/>
              <a:ea typeface="+mn-ea"/>
              <a:cs typeface="Times New Roman" panose="02020603050405020304" pitchFamily="18" charset="0"/>
            </a:rPr>
            <a:t>Frequency Analysis</a:t>
          </a:r>
          <a:endParaRPr lang="en-US" sz="1200" kern="1200" dirty="0">
            <a:latin typeface="+mn-lt"/>
            <a:ea typeface="+mn-ea"/>
            <a:cs typeface="Times New Roman" panose="02020603050405020304" pitchFamily="18" charset="0"/>
          </a:endParaRPr>
        </a:p>
      </dsp:txBody>
      <dsp:txXfrm>
        <a:off x="1625631" y="179562"/>
        <a:ext cx="1104683" cy="646714"/>
      </dsp:txXfrm>
    </dsp:sp>
    <dsp:sp modelId="{E5968257-A863-4C7C-831D-041553993BFC}">
      <dsp:nvSpPr>
        <dsp:cNvPr id="0" name=""/>
        <dsp:cNvSpPr/>
      </dsp:nvSpPr>
      <dsp:spPr>
        <a:xfrm>
          <a:off x="2864927" y="360949"/>
          <a:ext cx="242723" cy="283941"/>
        </a:xfrm>
        <a:prstGeom prst="rightArrow">
          <a:avLst>
            <a:gd name="adj1" fmla="val 60000"/>
            <a:gd name="adj2" fmla="val 50000"/>
          </a:avLst>
        </a:prstGeom>
        <a:solidFill>
          <a:schemeClr val="accent5">
            <a:hueOff val="-6076075"/>
            <a:satOff val="-413"/>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64927" y="417737"/>
        <a:ext cx="169906" cy="170365"/>
      </dsp:txXfrm>
    </dsp:sp>
    <dsp:sp modelId="{A6739FD9-1A20-4583-82CE-F229C140B66F}">
      <dsp:nvSpPr>
        <dsp:cNvPr id="0" name=""/>
        <dsp:cNvSpPr/>
      </dsp:nvSpPr>
      <dsp:spPr>
        <a:xfrm>
          <a:off x="3208404" y="159442"/>
          <a:ext cx="1144923" cy="686954"/>
        </a:xfrm>
        <a:prstGeom prst="roundRect">
          <a:avLst>
            <a:gd name="adj" fmla="val 10000"/>
          </a:avLst>
        </a:prstGeom>
        <a:solidFill>
          <a:schemeClr val="accent5">
            <a:hueOff val="-8101434"/>
            <a:satOff val="-551"/>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mn-lt"/>
              <a:ea typeface="+mn-ea"/>
              <a:cs typeface="Times New Roman" panose="02020603050405020304" pitchFamily="18" charset="0"/>
            </a:rPr>
            <a:t>Similar Priority Areas Grouped </a:t>
          </a:r>
          <a:endParaRPr lang="en-US" sz="1200" kern="1200" dirty="0">
            <a:latin typeface="+mn-lt"/>
            <a:ea typeface="+mn-ea"/>
            <a:cs typeface="Times New Roman" panose="02020603050405020304" pitchFamily="18" charset="0"/>
          </a:endParaRPr>
        </a:p>
      </dsp:txBody>
      <dsp:txXfrm>
        <a:off x="3228524" y="179562"/>
        <a:ext cx="1104683" cy="646714"/>
      </dsp:txXfrm>
    </dsp:sp>
    <dsp:sp modelId="{2A3FD58D-53C6-43B0-A864-39B297B484CF}">
      <dsp:nvSpPr>
        <dsp:cNvPr id="0" name=""/>
        <dsp:cNvSpPr/>
      </dsp:nvSpPr>
      <dsp:spPr>
        <a:xfrm>
          <a:off x="4467820" y="360949"/>
          <a:ext cx="242723" cy="283941"/>
        </a:xfrm>
        <a:prstGeom prst="rightArrow">
          <a:avLst>
            <a:gd name="adj1" fmla="val 60000"/>
            <a:gd name="adj2" fmla="val 50000"/>
          </a:avLst>
        </a:prstGeom>
        <a:solidFill>
          <a:schemeClr val="accent5">
            <a:hueOff val="-12152150"/>
            <a:satOff val="-826"/>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467820" y="417737"/>
        <a:ext cx="169906" cy="170365"/>
      </dsp:txXfrm>
    </dsp:sp>
    <dsp:sp modelId="{5DC2F21D-EE4F-4A32-91CE-8FA1D6EEE2CC}">
      <dsp:nvSpPr>
        <dsp:cNvPr id="0" name=""/>
        <dsp:cNvSpPr/>
      </dsp:nvSpPr>
      <dsp:spPr>
        <a:xfrm>
          <a:off x="4811297" y="159442"/>
          <a:ext cx="1144923" cy="686954"/>
        </a:xfrm>
        <a:prstGeom prst="roundRect">
          <a:avLst>
            <a:gd name="adj" fmla="val 10000"/>
          </a:avLst>
        </a:prstGeom>
        <a:solidFill>
          <a:schemeClr val="accent5">
            <a:hueOff val="-12152150"/>
            <a:satOff val="-826"/>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ea typeface="+mn-ea"/>
              <a:cs typeface="Times New Roman" panose="02020603050405020304" pitchFamily="18" charset="0"/>
            </a:rPr>
            <a:t>Ranking</a:t>
          </a:r>
        </a:p>
      </dsp:txBody>
      <dsp:txXfrm>
        <a:off x="4831417" y="179562"/>
        <a:ext cx="1104683" cy="6467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3015B08-7328-4AA2-AC26-A1BF38DE2463}">
  <we:reference id="wa200005121" version="1.2.0.0" store="en-US" storeType="OMEX"/>
  <we:alternateReferences>
    <we:reference id="WA200005121" version="1.2.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F3ECE2E-0D20-47F4-B903-6AB010A27582}">
  <we:reference id="wa200005502" version="1.0.0.9" store="en-US" storeType="OMEX"/>
  <we:alternateReferences>
    <we:reference id="WA200005502" version="1.0.0.9"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AA5BE-75E1-4798-A7B3-54EB8DAF8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12305</Words>
  <Characters>70142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 Živković</dc:creator>
  <cp:keywords/>
  <dc:description/>
  <cp:lastModifiedBy>Viktor Nedovic</cp:lastModifiedBy>
  <cp:revision>2</cp:revision>
  <dcterms:created xsi:type="dcterms:W3CDTF">2025-09-15T08:42:00Z</dcterms:created>
  <dcterms:modified xsi:type="dcterms:W3CDTF">2025-09-15T08:42:00Z</dcterms:modified>
</cp:coreProperties>
</file>