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F4F7" w14:textId="77777777" w:rsidR="00BC3386" w:rsidRPr="002E7249" w:rsidRDefault="00BC3386" w:rsidP="00BC3386">
      <w:pPr>
        <w:ind w:left="720" w:hanging="360"/>
        <w:rPr>
          <w:lang w:val="en-GB"/>
        </w:rPr>
      </w:pPr>
    </w:p>
    <w:p w14:paraId="69ADA456" w14:textId="77777777" w:rsidR="00BC3386" w:rsidRPr="002E7249" w:rsidRDefault="00BC3386" w:rsidP="00BC3386">
      <w:pPr>
        <w:ind w:left="720" w:hanging="360"/>
        <w:rPr>
          <w:lang w:val="en-GB"/>
        </w:rPr>
      </w:pPr>
    </w:p>
    <w:p w14:paraId="458653C7" w14:textId="77777777" w:rsidR="00BC3386" w:rsidRPr="002E7249" w:rsidRDefault="00BC3386" w:rsidP="00BC3386">
      <w:pPr>
        <w:ind w:left="720" w:hanging="360"/>
        <w:rPr>
          <w:lang w:val="en-GB"/>
        </w:rPr>
      </w:pPr>
    </w:p>
    <w:p w14:paraId="4D48DFA5" w14:textId="77777777" w:rsidR="00BC3386" w:rsidRPr="002E7249" w:rsidRDefault="00BC3386" w:rsidP="00BC3386">
      <w:pPr>
        <w:ind w:left="720" w:hanging="360"/>
        <w:rPr>
          <w:lang w:val="en-GB"/>
        </w:rPr>
      </w:pPr>
    </w:p>
    <w:p w14:paraId="7FB89B6C" w14:textId="77777777" w:rsidR="00BC3386" w:rsidRPr="002E7249" w:rsidRDefault="00BC3386" w:rsidP="00BC3386">
      <w:pPr>
        <w:ind w:left="720" w:hanging="360"/>
        <w:rPr>
          <w:lang w:val="en-GB"/>
        </w:rPr>
      </w:pPr>
    </w:p>
    <w:p w14:paraId="682F804F" w14:textId="77777777" w:rsidR="00BC3386" w:rsidRPr="002E7249" w:rsidRDefault="00BC3386" w:rsidP="00BC3386">
      <w:pPr>
        <w:ind w:left="720" w:hanging="360"/>
        <w:rPr>
          <w:lang w:val="en-GB"/>
        </w:rPr>
      </w:pPr>
    </w:p>
    <w:p w14:paraId="015A3D21" w14:textId="77777777" w:rsidR="00BC3386" w:rsidRPr="002E7249" w:rsidRDefault="00BC3386" w:rsidP="00BC3386">
      <w:pPr>
        <w:ind w:left="720" w:hanging="360"/>
        <w:rPr>
          <w:lang w:val="en-GB"/>
        </w:rPr>
      </w:pPr>
    </w:p>
    <w:p w14:paraId="7DE7DA13" w14:textId="77777777" w:rsidR="00BC3386" w:rsidRPr="002E7249" w:rsidRDefault="00BC3386" w:rsidP="00BC3386">
      <w:pPr>
        <w:ind w:left="720" w:hanging="360"/>
        <w:rPr>
          <w:lang w:val="en-GB"/>
        </w:rPr>
      </w:pPr>
    </w:p>
    <w:p w14:paraId="42A608DC" w14:textId="77777777" w:rsidR="00BC3386" w:rsidRPr="002E7249" w:rsidRDefault="00BC3386" w:rsidP="00BC3386">
      <w:pPr>
        <w:ind w:left="720" w:hanging="360"/>
        <w:rPr>
          <w:lang w:val="en-GB"/>
        </w:rPr>
      </w:pPr>
    </w:p>
    <w:p w14:paraId="76AEABF9" w14:textId="77777777" w:rsidR="00BC3386" w:rsidRPr="002E7249" w:rsidRDefault="00BC3386" w:rsidP="00BC3386">
      <w:pPr>
        <w:ind w:left="720" w:hanging="360"/>
        <w:rPr>
          <w:lang w:val="en-GB"/>
        </w:rPr>
      </w:pPr>
    </w:p>
    <w:p w14:paraId="2608574F" w14:textId="77777777" w:rsidR="00BC3386" w:rsidRPr="002E7249" w:rsidRDefault="00BC3386" w:rsidP="00BC3386">
      <w:pPr>
        <w:ind w:left="720" w:hanging="360"/>
        <w:rPr>
          <w:lang w:val="en-GB"/>
        </w:rPr>
      </w:pPr>
    </w:p>
    <w:p w14:paraId="290A4240" w14:textId="77777777" w:rsidR="00BC3386" w:rsidRPr="002E7249" w:rsidRDefault="00BC3386" w:rsidP="00BC3386">
      <w:pPr>
        <w:ind w:left="720" w:hanging="360"/>
        <w:rPr>
          <w:lang w:val="en-GB"/>
        </w:rPr>
      </w:pPr>
    </w:p>
    <w:p w14:paraId="099C4ED8" w14:textId="77777777" w:rsidR="00BC3386" w:rsidRPr="002E7249" w:rsidRDefault="00BC3386" w:rsidP="00BC3386">
      <w:pPr>
        <w:ind w:left="720" w:hanging="360"/>
        <w:rPr>
          <w:lang w:val="en-GB"/>
        </w:rPr>
      </w:pPr>
    </w:p>
    <w:p w14:paraId="4C8973C8" w14:textId="77777777" w:rsidR="00BC3386" w:rsidRPr="002E7249" w:rsidRDefault="00BC3386" w:rsidP="00BC3386">
      <w:pPr>
        <w:ind w:left="720" w:hanging="360"/>
        <w:rPr>
          <w:lang w:val="en-GB"/>
        </w:rPr>
      </w:pPr>
    </w:p>
    <w:p w14:paraId="502BAC27" w14:textId="77777777" w:rsidR="00BC3386" w:rsidRPr="002E7249" w:rsidRDefault="00BC3386" w:rsidP="00BC3386">
      <w:pPr>
        <w:ind w:left="720" w:hanging="360"/>
        <w:rPr>
          <w:lang w:val="en-GB"/>
        </w:rPr>
      </w:pPr>
    </w:p>
    <w:p w14:paraId="36782E9B" w14:textId="77777777" w:rsidR="00BC3386" w:rsidRPr="002E7249" w:rsidRDefault="00BC3386" w:rsidP="00BC3386">
      <w:pPr>
        <w:ind w:left="720" w:hanging="360"/>
        <w:rPr>
          <w:lang w:val="en-GB"/>
        </w:rPr>
      </w:pPr>
    </w:p>
    <w:p w14:paraId="3BA0D35D" w14:textId="7927F245" w:rsidR="00BC3386" w:rsidRPr="002E7249" w:rsidRDefault="00BC3386" w:rsidP="00BC3386">
      <w:pPr>
        <w:ind w:left="720" w:hanging="360"/>
        <w:jc w:val="center"/>
        <w:rPr>
          <w:b/>
          <w:sz w:val="40"/>
          <w:szCs w:val="40"/>
          <w:lang w:val="en-GB"/>
        </w:rPr>
      </w:pPr>
      <w:r w:rsidRPr="002E7249">
        <w:rPr>
          <w:b/>
          <w:sz w:val="40"/>
          <w:szCs w:val="40"/>
          <w:lang w:val="en-GB"/>
        </w:rPr>
        <w:t>Evaluation of the knowledge society in the Danube region (2010-202</w:t>
      </w:r>
      <w:r>
        <w:rPr>
          <w:b/>
          <w:sz w:val="40"/>
          <w:szCs w:val="40"/>
          <w:lang w:val="en-GB"/>
        </w:rPr>
        <w:t>4</w:t>
      </w:r>
      <w:r w:rsidRPr="002E7249">
        <w:rPr>
          <w:b/>
          <w:sz w:val="40"/>
          <w:szCs w:val="40"/>
          <w:lang w:val="en-GB"/>
        </w:rPr>
        <w:t>)</w:t>
      </w:r>
    </w:p>
    <w:p w14:paraId="23D97592" w14:textId="77777777" w:rsidR="00BC3386" w:rsidRPr="002E7249" w:rsidRDefault="00BC3386" w:rsidP="00BC3386">
      <w:pPr>
        <w:ind w:left="720" w:hanging="360"/>
        <w:rPr>
          <w:lang w:val="en-GB"/>
        </w:rPr>
      </w:pPr>
    </w:p>
    <w:p w14:paraId="68803342" w14:textId="77777777" w:rsidR="00BC3386" w:rsidRPr="002E7249" w:rsidRDefault="00BC3386" w:rsidP="00BC3386">
      <w:pPr>
        <w:ind w:left="720" w:hanging="360"/>
        <w:rPr>
          <w:lang w:val="en-GB"/>
        </w:rPr>
      </w:pPr>
    </w:p>
    <w:p w14:paraId="193B6749" w14:textId="77777777" w:rsidR="00BC3386" w:rsidRPr="002E7249" w:rsidRDefault="00BC3386" w:rsidP="00BC3386">
      <w:pPr>
        <w:ind w:left="720" w:hanging="360"/>
        <w:rPr>
          <w:lang w:val="en-GB"/>
        </w:rPr>
      </w:pPr>
    </w:p>
    <w:p w14:paraId="16F61C1C" w14:textId="77777777" w:rsidR="00BC3386" w:rsidRPr="002E7249" w:rsidRDefault="00BC3386" w:rsidP="00BC3386">
      <w:pPr>
        <w:ind w:left="720" w:hanging="360"/>
        <w:rPr>
          <w:lang w:val="en-GB"/>
        </w:rPr>
      </w:pPr>
    </w:p>
    <w:p w14:paraId="7AA127AC" w14:textId="77777777" w:rsidR="00BC3386" w:rsidRPr="002E7249" w:rsidRDefault="00BC3386" w:rsidP="00BC3386">
      <w:pPr>
        <w:ind w:left="720" w:hanging="360"/>
        <w:rPr>
          <w:lang w:val="en-GB"/>
        </w:rPr>
      </w:pPr>
    </w:p>
    <w:p w14:paraId="137BF8F5" w14:textId="77777777" w:rsidR="00BC3386" w:rsidRPr="002E7249" w:rsidRDefault="00BC3386" w:rsidP="00BC3386">
      <w:pPr>
        <w:ind w:left="720" w:hanging="360"/>
        <w:rPr>
          <w:lang w:val="en-GB"/>
        </w:rPr>
      </w:pPr>
    </w:p>
    <w:p w14:paraId="160A9211" w14:textId="77777777" w:rsidR="00BC3386" w:rsidRPr="002E7249" w:rsidRDefault="00BC3386" w:rsidP="00BC3386">
      <w:pPr>
        <w:ind w:left="720" w:hanging="360"/>
        <w:rPr>
          <w:lang w:val="en-GB"/>
        </w:rPr>
      </w:pPr>
    </w:p>
    <w:p w14:paraId="2E925F75" w14:textId="77777777" w:rsidR="00BC3386" w:rsidRPr="002E7249" w:rsidRDefault="00BC3386" w:rsidP="00BC3386">
      <w:pPr>
        <w:ind w:left="720" w:hanging="360"/>
        <w:rPr>
          <w:lang w:val="en-GB"/>
        </w:rPr>
      </w:pPr>
    </w:p>
    <w:p w14:paraId="4064D7B5" w14:textId="77777777" w:rsidR="00BC3386" w:rsidRDefault="00BC3386" w:rsidP="00BC3386">
      <w:pPr>
        <w:ind w:left="720" w:hanging="360"/>
        <w:rPr>
          <w:lang w:val="en-GB"/>
        </w:rPr>
      </w:pPr>
    </w:p>
    <w:p w14:paraId="2A6AD191" w14:textId="77777777" w:rsidR="00BC3386" w:rsidRDefault="00BC3386" w:rsidP="00BC3386">
      <w:pPr>
        <w:ind w:left="720" w:hanging="360"/>
        <w:rPr>
          <w:lang w:val="en-GB"/>
        </w:rPr>
      </w:pPr>
    </w:p>
    <w:p w14:paraId="0EBB9213" w14:textId="77777777" w:rsidR="00BC3386" w:rsidRPr="002E7249" w:rsidRDefault="00BC3386" w:rsidP="00BC3386">
      <w:pPr>
        <w:ind w:left="720" w:hanging="360"/>
        <w:rPr>
          <w:lang w:val="en-GB"/>
        </w:rPr>
      </w:pPr>
    </w:p>
    <w:p w14:paraId="77B40A2D" w14:textId="3392AF85" w:rsidR="00BC3386" w:rsidRPr="002E7249" w:rsidRDefault="00F24E2C" w:rsidP="00BC3386">
      <w:pPr>
        <w:rPr>
          <w:lang w:val="en-GB"/>
        </w:rPr>
      </w:pPr>
      <w:r>
        <w:rPr>
          <w:lang w:val="en-GB"/>
        </w:rPr>
        <w:t>June</w:t>
      </w:r>
      <w:r w:rsidR="00BC3386" w:rsidRPr="002E7249">
        <w:rPr>
          <w:lang w:val="en-GB"/>
        </w:rPr>
        <w:t xml:space="preserve"> 202</w:t>
      </w:r>
      <w:r>
        <w:rPr>
          <w:lang w:val="en-GB"/>
        </w:rPr>
        <w:t>5</w:t>
      </w:r>
      <w:r w:rsidR="00BC3386" w:rsidRPr="002E7249">
        <w:rPr>
          <w:lang w:val="en-GB"/>
        </w:rPr>
        <w:tab/>
      </w:r>
      <w:r w:rsidR="00BC3386" w:rsidRPr="002E7249">
        <w:rPr>
          <w:lang w:val="en-GB"/>
        </w:rPr>
        <w:tab/>
      </w:r>
      <w:r w:rsidR="00BC3386" w:rsidRPr="002E7249">
        <w:rPr>
          <w:lang w:val="en-GB"/>
        </w:rPr>
        <w:tab/>
      </w:r>
      <w:r w:rsidR="00BC3386" w:rsidRPr="002E7249">
        <w:rPr>
          <w:lang w:val="en-GB"/>
        </w:rPr>
        <w:tab/>
      </w:r>
      <w:r w:rsidR="00BC3386" w:rsidRPr="002E7249">
        <w:rPr>
          <w:lang w:val="en-GB"/>
        </w:rPr>
        <w:tab/>
      </w:r>
      <w:r w:rsidR="00BC3386" w:rsidRPr="002E7249">
        <w:rPr>
          <w:lang w:val="en-GB"/>
        </w:rPr>
        <w:tab/>
      </w:r>
      <w:r w:rsidR="00BC3386" w:rsidRPr="002E7249">
        <w:rPr>
          <w:lang w:val="en-GB"/>
        </w:rPr>
        <w:tab/>
      </w:r>
      <w:r w:rsidR="00BC3386" w:rsidRPr="002E7249">
        <w:rPr>
          <w:lang w:val="en-GB"/>
        </w:rPr>
        <w:tab/>
      </w:r>
      <w:proofErr w:type="gramStart"/>
      <w:r w:rsidR="00BC3386" w:rsidRPr="002E7249">
        <w:rPr>
          <w:lang w:val="en-GB"/>
        </w:rPr>
        <w:tab/>
      </w:r>
      <w:r w:rsidR="00BC3386">
        <w:rPr>
          <w:lang w:val="en-GB"/>
        </w:rPr>
        <w:t xml:space="preserve">  </w:t>
      </w:r>
      <w:r w:rsidR="00BC3386" w:rsidRPr="002E7249">
        <w:rPr>
          <w:lang w:val="en-GB"/>
        </w:rPr>
        <w:t>Version</w:t>
      </w:r>
      <w:proofErr w:type="gramEnd"/>
      <w:r w:rsidR="00BC3386" w:rsidRPr="002E7249">
        <w:rPr>
          <w:lang w:val="en-GB"/>
        </w:rPr>
        <w:t xml:space="preserve"> 1.0</w:t>
      </w:r>
    </w:p>
    <w:sdt>
      <w:sdtPr>
        <w:rPr>
          <w:rFonts w:asciiTheme="minorHAnsi" w:eastAsiaTheme="minorHAnsi" w:hAnsiTheme="minorHAnsi" w:cstheme="minorBidi"/>
          <w:b/>
          <w:bCs/>
          <w:color w:val="auto"/>
          <w:sz w:val="22"/>
          <w:szCs w:val="22"/>
          <w:lang w:eastAsia="en-US"/>
        </w:rPr>
        <w:id w:val="-1121075970"/>
        <w:docPartObj>
          <w:docPartGallery w:val="Table of Contents"/>
          <w:docPartUnique/>
        </w:docPartObj>
      </w:sdtPr>
      <w:sdtContent>
        <w:p w14:paraId="05A81142" w14:textId="70277B85" w:rsidR="00FD740D" w:rsidRPr="00270C68" w:rsidRDefault="00C55B79">
          <w:pPr>
            <w:pStyle w:val="Hlavikaobsahu"/>
            <w:rPr>
              <w:rFonts w:asciiTheme="minorHAnsi" w:hAnsiTheme="minorHAnsi"/>
              <w:b/>
              <w:bCs/>
            </w:rPr>
          </w:pPr>
          <w:proofErr w:type="spellStart"/>
          <w:r w:rsidRPr="00270C68">
            <w:rPr>
              <w:rFonts w:asciiTheme="minorHAnsi" w:hAnsiTheme="minorHAnsi"/>
              <w:b/>
              <w:bCs/>
            </w:rPr>
            <w:t>Content</w:t>
          </w:r>
          <w:proofErr w:type="spellEnd"/>
        </w:p>
        <w:p w14:paraId="531B9DAF" w14:textId="4DC80C93" w:rsidR="00F36DD7" w:rsidRPr="00270C68" w:rsidRDefault="00FD740D">
          <w:pPr>
            <w:pStyle w:val="Obsah1"/>
            <w:tabs>
              <w:tab w:val="right" w:leader="dot" w:pos="9062"/>
            </w:tabs>
            <w:rPr>
              <w:rFonts w:eastAsiaTheme="minorEastAsia"/>
              <w:b/>
              <w:bCs/>
              <w:noProof/>
              <w:kern w:val="2"/>
              <w:sz w:val="24"/>
              <w:szCs w:val="24"/>
              <w:lang w:eastAsia="sk-SK"/>
              <w14:ligatures w14:val="standardContextual"/>
            </w:rPr>
          </w:pPr>
          <w:r w:rsidRPr="00270C68">
            <w:rPr>
              <w:b/>
              <w:bCs/>
            </w:rPr>
            <w:fldChar w:fldCharType="begin"/>
          </w:r>
          <w:r w:rsidRPr="00270C68">
            <w:rPr>
              <w:b/>
              <w:bCs/>
            </w:rPr>
            <w:instrText xml:space="preserve"> TOC \o "1-3" \h \z \u </w:instrText>
          </w:r>
          <w:r w:rsidRPr="00270C68">
            <w:rPr>
              <w:b/>
              <w:bCs/>
            </w:rPr>
            <w:fldChar w:fldCharType="separate"/>
          </w:r>
          <w:hyperlink w:anchor="_Toc202166677" w:history="1">
            <w:r w:rsidR="00F36DD7" w:rsidRPr="00270C68">
              <w:rPr>
                <w:rStyle w:val="Hypertextovprepojenie"/>
                <w:b/>
                <w:bCs/>
                <w:noProof/>
              </w:rPr>
              <w:t>Graphs</w:t>
            </w:r>
            <w:r w:rsidR="00F36DD7" w:rsidRPr="00270C68">
              <w:rPr>
                <w:b/>
                <w:bCs/>
                <w:noProof/>
                <w:webHidden/>
              </w:rPr>
              <w:tab/>
            </w:r>
            <w:r w:rsidR="00F36DD7" w:rsidRPr="00270C68">
              <w:rPr>
                <w:b/>
                <w:bCs/>
                <w:noProof/>
                <w:webHidden/>
              </w:rPr>
              <w:fldChar w:fldCharType="begin"/>
            </w:r>
            <w:r w:rsidR="00F36DD7" w:rsidRPr="00270C68">
              <w:rPr>
                <w:b/>
                <w:bCs/>
                <w:noProof/>
                <w:webHidden/>
              </w:rPr>
              <w:instrText xml:space="preserve"> PAGEREF _Toc202166677 \h </w:instrText>
            </w:r>
            <w:r w:rsidR="00F36DD7" w:rsidRPr="00270C68">
              <w:rPr>
                <w:b/>
                <w:bCs/>
                <w:noProof/>
                <w:webHidden/>
              </w:rPr>
            </w:r>
            <w:r w:rsidR="00F36DD7" w:rsidRPr="00270C68">
              <w:rPr>
                <w:b/>
                <w:bCs/>
                <w:noProof/>
                <w:webHidden/>
              </w:rPr>
              <w:fldChar w:fldCharType="separate"/>
            </w:r>
            <w:r w:rsidR="00F36DD7" w:rsidRPr="00270C68">
              <w:rPr>
                <w:b/>
                <w:bCs/>
                <w:noProof/>
                <w:webHidden/>
              </w:rPr>
              <w:t>3</w:t>
            </w:r>
            <w:r w:rsidR="00F36DD7" w:rsidRPr="00270C68">
              <w:rPr>
                <w:b/>
                <w:bCs/>
                <w:noProof/>
                <w:webHidden/>
              </w:rPr>
              <w:fldChar w:fldCharType="end"/>
            </w:r>
          </w:hyperlink>
        </w:p>
        <w:p w14:paraId="657D319E" w14:textId="5C1DB94C" w:rsidR="00F36DD7" w:rsidRPr="00270C68" w:rsidRDefault="00F36DD7">
          <w:pPr>
            <w:pStyle w:val="Obsah1"/>
            <w:tabs>
              <w:tab w:val="right" w:leader="dot" w:pos="9062"/>
            </w:tabs>
            <w:rPr>
              <w:rFonts w:eastAsiaTheme="minorEastAsia"/>
              <w:b/>
              <w:bCs/>
              <w:noProof/>
              <w:kern w:val="2"/>
              <w:sz w:val="24"/>
              <w:szCs w:val="24"/>
              <w:lang w:eastAsia="sk-SK"/>
              <w14:ligatures w14:val="standardContextual"/>
            </w:rPr>
          </w:pPr>
          <w:hyperlink w:anchor="_Toc202166678" w:history="1">
            <w:r w:rsidRPr="00270C68">
              <w:rPr>
                <w:rStyle w:val="Hypertextovprepojenie"/>
                <w:b/>
                <w:bCs/>
                <w:noProof/>
              </w:rPr>
              <w:t>Tables</w:t>
            </w:r>
            <w:r w:rsidRPr="00270C68">
              <w:rPr>
                <w:b/>
                <w:bCs/>
                <w:noProof/>
                <w:webHidden/>
              </w:rPr>
              <w:tab/>
            </w:r>
            <w:r w:rsidRPr="00270C68">
              <w:rPr>
                <w:b/>
                <w:bCs/>
                <w:noProof/>
                <w:webHidden/>
              </w:rPr>
              <w:fldChar w:fldCharType="begin"/>
            </w:r>
            <w:r w:rsidRPr="00270C68">
              <w:rPr>
                <w:b/>
                <w:bCs/>
                <w:noProof/>
                <w:webHidden/>
              </w:rPr>
              <w:instrText xml:space="preserve"> PAGEREF _Toc202166678 \h </w:instrText>
            </w:r>
            <w:r w:rsidRPr="00270C68">
              <w:rPr>
                <w:b/>
                <w:bCs/>
                <w:noProof/>
                <w:webHidden/>
              </w:rPr>
            </w:r>
            <w:r w:rsidRPr="00270C68">
              <w:rPr>
                <w:b/>
                <w:bCs/>
                <w:noProof/>
                <w:webHidden/>
              </w:rPr>
              <w:fldChar w:fldCharType="separate"/>
            </w:r>
            <w:r w:rsidRPr="00270C68">
              <w:rPr>
                <w:b/>
                <w:bCs/>
                <w:noProof/>
                <w:webHidden/>
              </w:rPr>
              <w:t>4</w:t>
            </w:r>
            <w:r w:rsidRPr="00270C68">
              <w:rPr>
                <w:b/>
                <w:bCs/>
                <w:noProof/>
                <w:webHidden/>
              </w:rPr>
              <w:fldChar w:fldCharType="end"/>
            </w:r>
          </w:hyperlink>
        </w:p>
        <w:p w14:paraId="0EE55B95" w14:textId="5880B077" w:rsidR="00F36DD7" w:rsidRPr="00270C68" w:rsidRDefault="00F36DD7">
          <w:pPr>
            <w:pStyle w:val="Obsah1"/>
            <w:tabs>
              <w:tab w:val="right" w:leader="dot" w:pos="9062"/>
            </w:tabs>
            <w:rPr>
              <w:rFonts w:eastAsiaTheme="minorEastAsia"/>
              <w:b/>
              <w:bCs/>
              <w:noProof/>
              <w:kern w:val="2"/>
              <w:sz w:val="24"/>
              <w:szCs w:val="24"/>
              <w:lang w:eastAsia="sk-SK"/>
              <w14:ligatures w14:val="standardContextual"/>
            </w:rPr>
          </w:pPr>
          <w:hyperlink w:anchor="_Toc202166679" w:history="1">
            <w:r w:rsidRPr="00270C68">
              <w:rPr>
                <w:rStyle w:val="Hypertextovprepojenie"/>
                <w:b/>
                <w:bCs/>
                <w:noProof/>
                <w:lang w:val="en-GB"/>
              </w:rPr>
              <w:t>Acronyms</w:t>
            </w:r>
            <w:r w:rsidRPr="00270C68">
              <w:rPr>
                <w:b/>
                <w:bCs/>
                <w:noProof/>
                <w:webHidden/>
              </w:rPr>
              <w:tab/>
            </w:r>
            <w:r w:rsidRPr="00270C68">
              <w:rPr>
                <w:b/>
                <w:bCs/>
                <w:noProof/>
                <w:webHidden/>
              </w:rPr>
              <w:fldChar w:fldCharType="begin"/>
            </w:r>
            <w:r w:rsidRPr="00270C68">
              <w:rPr>
                <w:b/>
                <w:bCs/>
                <w:noProof/>
                <w:webHidden/>
              </w:rPr>
              <w:instrText xml:space="preserve"> PAGEREF _Toc202166679 \h </w:instrText>
            </w:r>
            <w:r w:rsidRPr="00270C68">
              <w:rPr>
                <w:b/>
                <w:bCs/>
                <w:noProof/>
                <w:webHidden/>
              </w:rPr>
            </w:r>
            <w:r w:rsidRPr="00270C68">
              <w:rPr>
                <w:b/>
                <w:bCs/>
                <w:noProof/>
                <w:webHidden/>
              </w:rPr>
              <w:fldChar w:fldCharType="separate"/>
            </w:r>
            <w:r w:rsidRPr="00270C68">
              <w:rPr>
                <w:b/>
                <w:bCs/>
                <w:noProof/>
                <w:webHidden/>
              </w:rPr>
              <w:t>5</w:t>
            </w:r>
            <w:r w:rsidRPr="00270C68">
              <w:rPr>
                <w:b/>
                <w:bCs/>
                <w:noProof/>
                <w:webHidden/>
              </w:rPr>
              <w:fldChar w:fldCharType="end"/>
            </w:r>
          </w:hyperlink>
        </w:p>
        <w:p w14:paraId="0FF72D29" w14:textId="533D3ACB" w:rsidR="00F36DD7" w:rsidRPr="00270C68" w:rsidRDefault="00F36DD7">
          <w:pPr>
            <w:pStyle w:val="Obsah1"/>
            <w:tabs>
              <w:tab w:val="left" w:pos="480"/>
              <w:tab w:val="right" w:leader="dot" w:pos="9062"/>
            </w:tabs>
            <w:rPr>
              <w:rFonts w:eastAsiaTheme="minorEastAsia"/>
              <w:b/>
              <w:bCs/>
              <w:noProof/>
              <w:kern w:val="2"/>
              <w:sz w:val="24"/>
              <w:szCs w:val="24"/>
              <w:lang w:eastAsia="sk-SK"/>
              <w14:ligatures w14:val="standardContextual"/>
            </w:rPr>
          </w:pPr>
          <w:hyperlink w:anchor="_Toc202166680" w:history="1">
            <w:r w:rsidRPr="00270C68">
              <w:rPr>
                <w:rStyle w:val="Hypertextovprepojenie"/>
                <w:b/>
                <w:bCs/>
                <w:noProof/>
              </w:rPr>
              <w:t>1.</w:t>
            </w:r>
            <w:r w:rsidRPr="00270C68">
              <w:rPr>
                <w:rFonts w:eastAsiaTheme="minorEastAsia"/>
                <w:b/>
                <w:bCs/>
                <w:noProof/>
                <w:kern w:val="2"/>
                <w:sz w:val="24"/>
                <w:szCs w:val="24"/>
                <w:lang w:eastAsia="sk-SK"/>
                <w14:ligatures w14:val="standardContextual"/>
              </w:rPr>
              <w:tab/>
            </w:r>
            <w:r w:rsidRPr="00270C68">
              <w:rPr>
                <w:rStyle w:val="Hypertextovprepojenie"/>
                <w:b/>
                <w:bCs/>
                <w:noProof/>
              </w:rPr>
              <w:t>Introduction</w:t>
            </w:r>
            <w:r w:rsidRPr="00270C68">
              <w:rPr>
                <w:b/>
                <w:bCs/>
                <w:noProof/>
                <w:webHidden/>
              </w:rPr>
              <w:tab/>
            </w:r>
            <w:r w:rsidRPr="00270C68">
              <w:rPr>
                <w:b/>
                <w:bCs/>
                <w:noProof/>
                <w:webHidden/>
              </w:rPr>
              <w:fldChar w:fldCharType="begin"/>
            </w:r>
            <w:r w:rsidRPr="00270C68">
              <w:rPr>
                <w:b/>
                <w:bCs/>
                <w:noProof/>
                <w:webHidden/>
              </w:rPr>
              <w:instrText xml:space="preserve"> PAGEREF _Toc202166680 \h </w:instrText>
            </w:r>
            <w:r w:rsidRPr="00270C68">
              <w:rPr>
                <w:b/>
                <w:bCs/>
                <w:noProof/>
                <w:webHidden/>
              </w:rPr>
            </w:r>
            <w:r w:rsidRPr="00270C68">
              <w:rPr>
                <w:b/>
                <w:bCs/>
                <w:noProof/>
                <w:webHidden/>
              </w:rPr>
              <w:fldChar w:fldCharType="separate"/>
            </w:r>
            <w:r w:rsidRPr="00270C68">
              <w:rPr>
                <w:b/>
                <w:bCs/>
                <w:noProof/>
                <w:webHidden/>
              </w:rPr>
              <w:t>6</w:t>
            </w:r>
            <w:r w:rsidRPr="00270C68">
              <w:rPr>
                <w:b/>
                <w:bCs/>
                <w:noProof/>
                <w:webHidden/>
              </w:rPr>
              <w:fldChar w:fldCharType="end"/>
            </w:r>
          </w:hyperlink>
        </w:p>
        <w:p w14:paraId="188C430E" w14:textId="3EE07A6B" w:rsidR="00F36DD7" w:rsidRPr="00270C68" w:rsidRDefault="00F36DD7">
          <w:pPr>
            <w:pStyle w:val="Obsah1"/>
            <w:tabs>
              <w:tab w:val="left" w:pos="480"/>
              <w:tab w:val="right" w:leader="dot" w:pos="9062"/>
            </w:tabs>
            <w:rPr>
              <w:rFonts w:eastAsiaTheme="minorEastAsia"/>
              <w:b/>
              <w:bCs/>
              <w:noProof/>
              <w:kern w:val="2"/>
              <w:sz w:val="24"/>
              <w:szCs w:val="24"/>
              <w:lang w:eastAsia="sk-SK"/>
              <w14:ligatures w14:val="standardContextual"/>
            </w:rPr>
          </w:pPr>
          <w:hyperlink w:anchor="_Toc202166681" w:history="1">
            <w:r w:rsidRPr="00270C68">
              <w:rPr>
                <w:rStyle w:val="Hypertextovprepojenie"/>
                <w:b/>
                <w:bCs/>
                <w:noProof/>
                <w:lang w:val="en-GB"/>
              </w:rPr>
              <w:t>2.</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Methodology</w:t>
            </w:r>
            <w:r w:rsidRPr="00270C68">
              <w:rPr>
                <w:b/>
                <w:bCs/>
                <w:noProof/>
                <w:webHidden/>
              </w:rPr>
              <w:tab/>
            </w:r>
            <w:r w:rsidRPr="00270C68">
              <w:rPr>
                <w:b/>
                <w:bCs/>
                <w:noProof/>
                <w:webHidden/>
              </w:rPr>
              <w:fldChar w:fldCharType="begin"/>
            </w:r>
            <w:r w:rsidRPr="00270C68">
              <w:rPr>
                <w:b/>
                <w:bCs/>
                <w:noProof/>
                <w:webHidden/>
              </w:rPr>
              <w:instrText xml:space="preserve"> PAGEREF _Toc202166681 \h </w:instrText>
            </w:r>
            <w:r w:rsidRPr="00270C68">
              <w:rPr>
                <w:b/>
                <w:bCs/>
                <w:noProof/>
                <w:webHidden/>
              </w:rPr>
            </w:r>
            <w:r w:rsidRPr="00270C68">
              <w:rPr>
                <w:b/>
                <w:bCs/>
                <w:noProof/>
                <w:webHidden/>
              </w:rPr>
              <w:fldChar w:fldCharType="separate"/>
            </w:r>
            <w:r w:rsidRPr="00270C68">
              <w:rPr>
                <w:b/>
                <w:bCs/>
                <w:noProof/>
                <w:webHidden/>
              </w:rPr>
              <w:t>7</w:t>
            </w:r>
            <w:r w:rsidRPr="00270C68">
              <w:rPr>
                <w:b/>
                <w:bCs/>
                <w:noProof/>
                <w:webHidden/>
              </w:rPr>
              <w:fldChar w:fldCharType="end"/>
            </w:r>
          </w:hyperlink>
        </w:p>
        <w:p w14:paraId="57F53CA9" w14:textId="5B7B87B0" w:rsidR="00F36DD7" w:rsidRPr="00270C68" w:rsidRDefault="00F36DD7">
          <w:pPr>
            <w:pStyle w:val="Obsah1"/>
            <w:tabs>
              <w:tab w:val="left" w:pos="480"/>
              <w:tab w:val="right" w:leader="dot" w:pos="9062"/>
            </w:tabs>
            <w:rPr>
              <w:rFonts w:eastAsiaTheme="minorEastAsia"/>
              <w:b/>
              <w:bCs/>
              <w:noProof/>
              <w:kern w:val="2"/>
              <w:sz w:val="24"/>
              <w:szCs w:val="24"/>
              <w:lang w:eastAsia="sk-SK"/>
              <w14:ligatures w14:val="standardContextual"/>
            </w:rPr>
          </w:pPr>
          <w:hyperlink w:anchor="_Toc202166682" w:history="1">
            <w:r w:rsidRPr="00270C68">
              <w:rPr>
                <w:rStyle w:val="Hypertextovprepojenie"/>
                <w:b/>
                <w:bCs/>
                <w:noProof/>
                <w:lang w:val="en-GB"/>
              </w:rPr>
              <w:t>3.</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Assessment of the knowledge society in the Danube region</w:t>
            </w:r>
            <w:r w:rsidRPr="00270C68">
              <w:rPr>
                <w:b/>
                <w:bCs/>
                <w:noProof/>
                <w:webHidden/>
              </w:rPr>
              <w:tab/>
            </w:r>
            <w:r w:rsidRPr="00270C68">
              <w:rPr>
                <w:b/>
                <w:bCs/>
                <w:noProof/>
                <w:webHidden/>
              </w:rPr>
              <w:fldChar w:fldCharType="begin"/>
            </w:r>
            <w:r w:rsidRPr="00270C68">
              <w:rPr>
                <w:b/>
                <w:bCs/>
                <w:noProof/>
                <w:webHidden/>
              </w:rPr>
              <w:instrText xml:space="preserve"> PAGEREF _Toc202166682 \h </w:instrText>
            </w:r>
            <w:r w:rsidRPr="00270C68">
              <w:rPr>
                <w:b/>
                <w:bCs/>
                <w:noProof/>
                <w:webHidden/>
              </w:rPr>
            </w:r>
            <w:r w:rsidRPr="00270C68">
              <w:rPr>
                <w:b/>
                <w:bCs/>
                <w:noProof/>
                <w:webHidden/>
              </w:rPr>
              <w:fldChar w:fldCharType="separate"/>
            </w:r>
            <w:r w:rsidRPr="00270C68">
              <w:rPr>
                <w:b/>
                <w:bCs/>
                <w:noProof/>
                <w:webHidden/>
              </w:rPr>
              <w:t>8</w:t>
            </w:r>
            <w:r w:rsidRPr="00270C68">
              <w:rPr>
                <w:b/>
                <w:bCs/>
                <w:noProof/>
                <w:webHidden/>
              </w:rPr>
              <w:fldChar w:fldCharType="end"/>
            </w:r>
          </w:hyperlink>
        </w:p>
        <w:p w14:paraId="762511A8" w14:textId="09CAA081" w:rsidR="00F36DD7" w:rsidRPr="00270C68" w:rsidRDefault="00F36DD7">
          <w:pPr>
            <w:pStyle w:val="Obsah2"/>
            <w:tabs>
              <w:tab w:val="left" w:pos="960"/>
              <w:tab w:val="right" w:leader="dot" w:pos="9062"/>
            </w:tabs>
            <w:rPr>
              <w:rFonts w:eastAsiaTheme="minorEastAsia"/>
              <w:b/>
              <w:bCs/>
              <w:noProof/>
              <w:kern w:val="2"/>
              <w:sz w:val="24"/>
              <w:szCs w:val="24"/>
              <w:lang w:eastAsia="sk-SK"/>
              <w14:ligatures w14:val="standardContextual"/>
            </w:rPr>
          </w:pPr>
          <w:hyperlink w:anchor="_Toc202166683" w:history="1">
            <w:r w:rsidRPr="00270C68">
              <w:rPr>
                <w:rStyle w:val="Hypertextovprepojenie"/>
                <w:b/>
                <w:bCs/>
                <w:noProof/>
                <w:lang w:val="en-GB"/>
              </w:rPr>
              <w:t>3.1.</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Investments to research and innovation</w:t>
            </w:r>
            <w:r w:rsidRPr="00270C68">
              <w:rPr>
                <w:b/>
                <w:bCs/>
                <w:noProof/>
                <w:webHidden/>
              </w:rPr>
              <w:tab/>
            </w:r>
            <w:r w:rsidRPr="00270C68">
              <w:rPr>
                <w:b/>
                <w:bCs/>
                <w:noProof/>
                <w:webHidden/>
              </w:rPr>
              <w:fldChar w:fldCharType="begin"/>
            </w:r>
            <w:r w:rsidRPr="00270C68">
              <w:rPr>
                <w:b/>
                <w:bCs/>
                <w:noProof/>
                <w:webHidden/>
              </w:rPr>
              <w:instrText xml:space="preserve"> PAGEREF _Toc202166683 \h </w:instrText>
            </w:r>
            <w:r w:rsidRPr="00270C68">
              <w:rPr>
                <w:b/>
                <w:bCs/>
                <w:noProof/>
                <w:webHidden/>
              </w:rPr>
            </w:r>
            <w:r w:rsidRPr="00270C68">
              <w:rPr>
                <w:b/>
                <w:bCs/>
                <w:noProof/>
                <w:webHidden/>
              </w:rPr>
              <w:fldChar w:fldCharType="separate"/>
            </w:r>
            <w:r w:rsidRPr="00270C68">
              <w:rPr>
                <w:b/>
                <w:bCs/>
                <w:noProof/>
                <w:webHidden/>
              </w:rPr>
              <w:t>12</w:t>
            </w:r>
            <w:r w:rsidRPr="00270C68">
              <w:rPr>
                <w:b/>
                <w:bCs/>
                <w:noProof/>
                <w:webHidden/>
              </w:rPr>
              <w:fldChar w:fldCharType="end"/>
            </w:r>
          </w:hyperlink>
        </w:p>
        <w:p w14:paraId="07235A50" w14:textId="5F975E1A" w:rsidR="00F36DD7" w:rsidRPr="00270C68" w:rsidRDefault="00F36DD7">
          <w:pPr>
            <w:pStyle w:val="Obsah2"/>
            <w:tabs>
              <w:tab w:val="left" w:pos="960"/>
              <w:tab w:val="right" w:leader="dot" w:pos="9062"/>
            </w:tabs>
            <w:rPr>
              <w:rFonts w:eastAsiaTheme="minorEastAsia"/>
              <w:b/>
              <w:bCs/>
              <w:noProof/>
              <w:kern w:val="2"/>
              <w:sz w:val="24"/>
              <w:szCs w:val="24"/>
              <w:lang w:eastAsia="sk-SK"/>
              <w14:ligatures w14:val="standardContextual"/>
            </w:rPr>
          </w:pPr>
          <w:hyperlink w:anchor="_Toc202166684" w:history="1">
            <w:r w:rsidRPr="00270C68">
              <w:rPr>
                <w:rStyle w:val="Hypertextovprepojenie"/>
                <w:b/>
                <w:bCs/>
                <w:noProof/>
                <w:lang w:val="en-GB"/>
              </w:rPr>
              <w:t>3.2.</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Investments in talent and human resources</w:t>
            </w:r>
            <w:r w:rsidRPr="00270C68">
              <w:rPr>
                <w:b/>
                <w:bCs/>
                <w:noProof/>
                <w:webHidden/>
              </w:rPr>
              <w:tab/>
            </w:r>
            <w:r w:rsidRPr="00270C68">
              <w:rPr>
                <w:b/>
                <w:bCs/>
                <w:noProof/>
                <w:webHidden/>
              </w:rPr>
              <w:fldChar w:fldCharType="begin"/>
            </w:r>
            <w:r w:rsidRPr="00270C68">
              <w:rPr>
                <w:b/>
                <w:bCs/>
                <w:noProof/>
                <w:webHidden/>
              </w:rPr>
              <w:instrText xml:space="preserve"> PAGEREF _Toc202166684 \h </w:instrText>
            </w:r>
            <w:r w:rsidRPr="00270C68">
              <w:rPr>
                <w:b/>
                <w:bCs/>
                <w:noProof/>
                <w:webHidden/>
              </w:rPr>
            </w:r>
            <w:r w:rsidRPr="00270C68">
              <w:rPr>
                <w:b/>
                <w:bCs/>
                <w:noProof/>
                <w:webHidden/>
              </w:rPr>
              <w:fldChar w:fldCharType="separate"/>
            </w:r>
            <w:r w:rsidRPr="00270C68">
              <w:rPr>
                <w:b/>
                <w:bCs/>
                <w:noProof/>
                <w:webHidden/>
              </w:rPr>
              <w:t>14</w:t>
            </w:r>
            <w:r w:rsidRPr="00270C68">
              <w:rPr>
                <w:b/>
                <w:bCs/>
                <w:noProof/>
                <w:webHidden/>
              </w:rPr>
              <w:fldChar w:fldCharType="end"/>
            </w:r>
          </w:hyperlink>
        </w:p>
        <w:p w14:paraId="724C6156" w14:textId="60BF8569" w:rsidR="00F36DD7" w:rsidRPr="00270C68" w:rsidRDefault="00F36DD7">
          <w:pPr>
            <w:pStyle w:val="Obsah2"/>
            <w:tabs>
              <w:tab w:val="left" w:pos="960"/>
              <w:tab w:val="right" w:leader="dot" w:pos="9062"/>
            </w:tabs>
            <w:rPr>
              <w:rFonts w:eastAsiaTheme="minorEastAsia"/>
              <w:b/>
              <w:bCs/>
              <w:noProof/>
              <w:kern w:val="2"/>
              <w:sz w:val="24"/>
              <w:szCs w:val="24"/>
              <w:lang w:eastAsia="sk-SK"/>
              <w14:ligatures w14:val="standardContextual"/>
            </w:rPr>
          </w:pPr>
          <w:hyperlink w:anchor="_Toc202166685" w:history="1">
            <w:r w:rsidRPr="00270C68">
              <w:rPr>
                <w:rStyle w:val="Hypertextovprepojenie"/>
                <w:b/>
                <w:bCs/>
                <w:noProof/>
                <w:lang w:val="en-GB"/>
              </w:rPr>
              <w:t>3.3.</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Activities (cooperation between stakeholders and mobility)</w:t>
            </w:r>
            <w:r w:rsidRPr="00270C68">
              <w:rPr>
                <w:b/>
                <w:bCs/>
                <w:noProof/>
                <w:webHidden/>
              </w:rPr>
              <w:tab/>
            </w:r>
            <w:r w:rsidRPr="00270C68">
              <w:rPr>
                <w:b/>
                <w:bCs/>
                <w:noProof/>
                <w:webHidden/>
              </w:rPr>
              <w:fldChar w:fldCharType="begin"/>
            </w:r>
            <w:r w:rsidRPr="00270C68">
              <w:rPr>
                <w:b/>
                <w:bCs/>
                <w:noProof/>
                <w:webHidden/>
              </w:rPr>
              <w:instrText xml:space="preserve"> PAGEREF _Toc202166685 \h </w:instrText>
            </w:r>
            <w:r w:rsidRPr="00270C68">
              <w:rPr>
                <w:b/>
                <w:bCs/>
                <w:noProof/>
                <w:webHidden/>
              </w:rPr>
            </w:r>
            <w:r w:rsidRPr="00270C68">
              <w:rPr>
                <w:b/>
                <w:bCs/>
                <w:noProof/>
                <w:webHidden/>
              </w:rPr>
              <w:fldChar w:fldCharType="separate"/>
            </w:r>
            <w:r w:rsidRPr="00270C68">
              <w:rPr>
                <w:b/>
                <w:bCs/>
                <w:noProof/>
                <w:webHidden/>
              </w:rPr>
              <w:t>17</w:t>
            </w:r>
            <w:r w:rsidRPr="00270C68">
              <w:rPr>
                <w:b/>
                <w:bCs/>
                <w:noProof/>
                <w:webHidden/>
              </w:rPr>
              <w:fldChar w:fldCharType="end"/>
            </w:r>
          </w:hyperlink>
        </w:p>
        <w:p w14:paraId="773F1BDF" w14:textId="4909A5CE" w:rsidR="00F36DD7" w:rsidRPr="00270C68" w:rsidRDefault="00F36DD7">
          <w:pPr>
            <w:pStyle w:val="Obsah2"/>
            <w:tabs>
              <w:tab w:val="left" w:pos="960"/>
              <w:tab w:val="right" w:leader="dot" w:pos="9062"/>
            </w:tabs>
            <w:rPr>
              <w:rFonts w:eastAsiaTheme="minorEastAsia"/>
              <w:b/>
              <w:bCs/>
              <w:noProof/>
              <w:kern w:val="2"/>
              <w:sz w:val="24"/>
              <w:szCs w:val="24"/>
              <w:lang w:eastAsia="sk-SK"/>
              <w14:ligatures w14:val="standardContextual"/>
            </w:rPr>
          </w:pPr>
          <w:hyperlink w:anchor="_Toc202166686" w:history="1">
            <w:r w:rsidRPr="00270C68">
              <w:rPr>
                <w:rStyle w:val="Hypertextovprepojenie"/>
                <w:b/>
                <w:bCs/>
                <w:noProof/>
                <w:lang w:val="en-GB"/>
              </w:rPr>
              <w:t>3.4.</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rPr>
              <w:t>Outputs from research and innovation activities</w:t>
            </w:r>
            <w:r w:rsidRPr="00270C68">
              <w:rPr>
                <w:b/>
                <w:bCs/>
                <w:noProof/>
                <w:webHidden/>
              </w:rPr>
              <w:tab/>
            </w:r>
            <w:r w:rsidRPr="00270C68">
              <w:rPr>
                <w:b/>
                <w:bCs/>
                <w:noProof/>
                <w:webHidden/>
              </w:rPr>
              <w:fldChar w:fldCharType="begin"/>
            </w:r>
            <w:r w:rsidRPr="00270C68">
              <w:rPr>
                <w:b/>
                <w:bCs/>
                <w:noProof/>
                <w:webHidden/>
              </w:rPr>
              <w:instrText xml:space="preserve"> PAGEREF _Toc202166686 \h </w:instrText>
            </w:r>
            <w:r w:rsidRPr="00270C68">
              <w:rPr>
                <w:b/>
                <w:bCs/>
                <w:noProof/>
                <w:webHidden/>
              </w:rPr>
            </w:r>
            <w:r w:rsidRPr="00270C68">
              <w:rPr>
                <w:b/>
                <w:bCs/>
                <w:noProof/>
                <w:webHidden/>
              </w:rPr>
              <w:fldChar w:fldCharType="separate"/>
            </w:r>
            <w:r w:rsidRPr="00270C68">
              <w:rPr>
                <w:b/>
                <w:bCs/>
                <w:noProof/>
                <w:webHidden/>
              </w:rPr>
              <w:t>25</w:t>
            </w:r>
            <w:r w:rsidRPr="00270C68">
              <w:rPr>
                <w:b/>
                <w:bCs/>
                <w:noProof/>
                <w:webHidden/>
              </w:rPr>
              <w:fldChar w:fldCharType="end"/>
            </w:r>
          </w:hyperlink>
        </w:p>
        <w:p w14:paraId="4B1D2F20" w14:textId="0A855A78" w:rsidR="00F36DD7" w:rsidRPr="00270C68" w:rsidRDefault="00F36DD7">
          <w:pPr>
            <w:pStyle w:val="Obsah2"/>
            <w:tabs>
              <w:tab w:val="left" w:pos="960"/>
              <w:tab w:val="right" w:leader="dot" w:pos="9062"/>
            </w:tabs>
            <w:rPr>
              <w:rFonts w:eastAsiaTheme="minorEastAsia"/>
              <w:b/>
              <w:bCs/>
              <w:noProof/>
              <w:kern w:val="2"/>
              <w:sz w:val="24"/>
              <w:szCs w:val="24"/>
              <w:lang w:eastAsia="sk-SK"/>
              <w14:ligatures w14:val="standardContextual"/>
            </w:rPr>
          </w:pPr>
          <w:hyperlink w:anchor="_Toc202166687" w:history="1">
            <w:r w:rsidRPr="00270C68">
              <w:rPr>
                <w:rStyle w:val="Hypertextovprepojenie"/>
                <w:b/>
                <w:bCs/>
                <w:noProof/>
                <w:lang w:val="en-GB"/>
              </w:rPr>
              <w:t>3.5.</w:t>
            </w:r>
            <w:r w:rsidRPr="00270C68">
              <w:rPr>
                <w:rFonts w:eastAsiaTheme="minorEastAsia"/>
                <w:b/>
                <w:bCs/>
                <w:noProof/>
                <w:kern w:val="2"/>
                <w:sz w:val="24"/>
                <w:szCs w:val="24"/>
                <w:lang w:eastAsia="sk-SK"/>
                <w14:ligatures w14:val="standardContextual"/>
              </w:rPr>
              <w:tab/>
            </w:r>
            <w:r w:rsidRPr="00270C68">
              <w:rPr>
                <w:rStyle w:val="Hypertextovprepojenie"/>
                <w:b/>
                <w:bCs/>
                <w:noProof/>
                <w:lang w:val="en-GB" w:eastAsia="sk-SK"/>
              </w:rPr>
              <w:t>Short-term and long-term effects</w:t>
            </w:r>
            <w:r w:rsidRPr="00270C68">
              <w:rPr>
                <w:b/>
                <w:bCs/>
                <w:noProof/>
                <w:webHidden/>
              </w:rPr>
              <w:tab/>
            </w:r>
            <w:r w:rsidRPr="00270C68">
              <w:rPr>
                <w:b/>
                <w:bCs/>
                <w:noProof/>
                <w:webHidden/>
              </w:rPr>
              <w:fldChar w:fldCharType="begin"/>
            </w:r>
            <w:r w:rsidRPr="00270C68">
              <w:rPr>
                <w:b/>
                <w:bCs/>
                <w:noProof/>
                <w:webHidden/>
              </w:rPr>
              <w:instrText xml:space="preserve"> PAGEREF _Toc202166687 \h </w:instrText>
            </w:r>
            <w:r w:rsidRPr="00270C68">
              <w:rPr>
                <w:b/>
                <w:bCs/>
                <w:noProof/>
                <w:webHidden/>
              </w:rPr>
            </w:r>
            <w:r w:rsidRPr="00270C68">
              <w:rPr>
                <w:b/>
                <w:bCs/>
                <w:noProof/>
                <w:webHidden/>
              </w:rPr>
              <w:fldChar w:fldCharType="separate"/>
            </w:r>
            <w:r w:rsidRPr="00270C68">
              <w:rPr>
                <w:b/>
                <w:bCs/>
                <w:noProof/>
                <w:webHidden/>
              </w:rPr>
              <w:t>29</w:t>
            </w:r>
            <w:r w:rsidRPr="00270C68">
              <w:rPr>
                <w:b/>
                <w:bCs/>
                <w:noProof/>
                <w:webHidden/>
              </w:rPr>
              <w:fldChar w:fldCharType="end"/>
            </w:r>
          </w:hyperlink>
        </w:p>
        <w:p w14:paraId="39A5B4DE" w14:textId="6206A22C" w:rsidR="00F36DD7" w:rsidRPr="00270C68" w:rsidRDefault="00F36DD7">
          <w:pPr>
            <w:pStyle w:val="Obsah1"/>
            <w:tabs>
              <w:tab w:val="left" w:pos="480"/>
              <w:tab w:val="right" w:leader="dot" w:pos="9062"/>
            </w:tabs>
            <w:rPr>
              <w:rFonts w:eastAsiaTheme="minorEastAsia"/>
              <w:b/>
              <w:bCs/>
              <w:noProof/>
              <w:kern w:val="2"/>
              <w:sz w:val="24"/>
              <w:szCs w:val="24"/>
              <w:lang w:eastAsia="sk-SK"/>
              <w14:ligatures w14:val="standardContextual"/>
            </w:rPr>
          </w:pPr>
          <w:hyperlink w:anchor="_Toc202166688" w:history="1">
            <w:r w:rsidRPr="00270C68">
              <w:rPr>
                <w:rStyle w:val="Hypertextovprepojenie"/>
                <w:rFonts w:cs="Calibri Light"/>
                <w:b/>
                <w:bCs/>
                <w:noProof/>
                <w:lang w:val="en-GB"/>
              </w:rPr>
              <w:t>4.</w:t>
            </w:r>
            <w:r w:rsidRPr="00270C68">
              <w:rPr>
                <w:rFonts w:eastAsiaTheme="minorEastAsia"/>
                <w:b/>
                <w:bCs/>
                <w:noProof/>
                <w:kern w:val="2"/>
                <w:sz w:val="24"/>
                <w:szCs w:val="24"/>
                <w:lang w:eastAsia="sk-SK"/>
                <w14:ligatures w14:val="standardContextual"/>
              </w:rPr>
              <w:tab/>
            </w:r>
            <w:r w:rsidRPr="00270C68">
              <w:rPr>
                <w:rStyle w:val="Hypertextovprepojenie"/>
                <w:rFonts w:cs="Calibri Light"/>
                <w:b/>
                <w:bCs/>
                <w:noProof/>
                <w:shd w:val="clear" w:color="auto" w:fill="FFFFFF"/>
                <w:lang w:val="en-GB"/>
              </w:rPr>
              <w:t>Evaluation of current best practice and</w:t>
            </w:r>
            <w:r w:rsidRPr="00270C68">
              <w:rPr>
                <w:rStyle w:val="Hypertextovprepojenie"/>
                <w:rFonts w:ascii="Arial" w:hAnsi="Arial" w:cs="Arial"/>
                <w:b/>
                <w:bCs/>
                <w:noProof/>
                <w:shd w:val="clear" w:color="auto" w:fill="FFFFFF"/>
                <w:lang w:val="en-GB"/>
              </w:rPr>
              <w:t> </w:t>
            </w:r>
            <w:r w:rsidRPr="00270C68">
              <w:rPr>
                <w:rStyle w:val="Hypertextovprepojenie"/>
                <w:rFonts w:cs="Calibri Light"/>
                <w:b/>
                <w:bCs/>
                <w:noProof/>
                <w:shd w:val="clear" w:color="auto" w:fill="FFFFFF"/>
                <w:lang w:val="en-GB"/>
              </w:rPr>
              <w:t>SWOT analysis of PA7</w:t>
            </w:r>
            <w:r w:rsidRPr="00270C68">
              <w:rPr>
                <w:b/>
                <w:bCs/>
                <w:noProof/>
                <w:webHidden/>
              </w:rPr>
              <w:tab/>
            </w:r>
            <w:r w:rsidRPr="00270C68">
              <w:rPr>
                <w:b/>
                <w:bCs/>
                <w:noProof/>
                <w:webHidden/>
              </w:rPr>
              <w:fldChar w:fldCharType="begin"/>
            </w:r>
            <w:r w:rsidRPr="00270C68">
              <w:rPr>
                <w:b/>
                <w:bCs/>
                <w:noProof/>
                <w:webHidden/>
              </w:rPr>
              <w:instrText xml:space="preserve"> PAGEREF _Toc202166688 \h </w:instrText>
            </w:r>
            <w:r w:rsidRPr="00270C68">
              <w:rPr>
                <w:b/>
                <w:bCs/>
                <w:noProof/>
                <w:webHidden/>
              </w:rPr>
            </w:r>
            <w:r w:rsidRPr="00270C68">
              <w:rPr>
                <w:b/>
                <w:bCs/>
                <w:noProof/>
                <w:webHidden/>
              </w:rPr>
              <w:fldChar w:fldCharType="separate"/>
            </w:r>
            <w:r w:rsidRPr="00270C68">
              <w:rPr>
                <w:b/>
                <w:bCs/>
                <w:noProof/>
                <w:webHidden/>
              </w:rPr>
              <w:t>32</w:t>
            </w:r>
            <w:r w:rsidRPr="00270C68">
              <w:rPr>
                <w:b/>
                <w:bCs/>
                <w:noProof/>
                <w:webHidden/>
              </w:rPr>
              <w:fldChar w:fldCharType="end"/>
            </w:r>
          </w:hyperlink>
        </w:p>
        <w:p w14:paraId="2518851D" w14:textId="1002619E" w:rsidR="00F36DD7" w:rsidRPr="00270C68" w:rsidRDefault="00F36DD7">
          <w:pPr>
            <w:pStyle w:val="Obsah1"/>
            <w:tabs>
              <w:tab w:val="left" w:pos="480"/>
              <w:tab w:val="right" w:leader="dot" w:pos="9062"/>
            </w:tabs>
            <w:rPr>
              <w:rFonts w:eastAsiaTheme="minorEastAsia"/>
              <w:b/>
              <w:bCs/>
              <w:noProof/>
              <w:kern w:val="2"/>
              <w:sz w:val="24"/>
              <w:szCs w:val="24"/>
              <w:lang w:eastAsia="sk-SK"/>
              <w14:ligatures w14:val="standardContextual"/>
            </w:rPr>
          </w:pPr>
          <w:hyperlink w:anchor="_Toc202166689" w:history="1">
            <w:r w:rsidRPr="00270C68">
              <w:rPr>
                <w:rStyle w:val="Hypertextovprepojenie"/>
                <w:rFonts w:cs="Calibri Light"/>
                <w:b/>
                <w:bCs/>
                <w:noProof/>
                <w:lang w:val="en-GB"/>
              </w:rPr>
              <w:t>5.</w:t>
            </w:r>
            <w:r w:rsidRPr="00270C68">
              <w:rPr>
                <w:rFonts w:eastAsiaTheme="minorEastAsia"/>
                <w:b/>
                <w:bCs/>
                <w:noProof/>
                <w:kern w:val="2"/>
                <w:sz w:val="24"/>
                <w:szCs w:val="24"/>
                <w:lang w:eastAsia="sk-SK"/>
                <w14:ligatures w14:val="standardContextual"/>
              </w:rPr>
              <w:tab/>
            </w:r>
            <w:r w:rsidRPr="00270C68">
              <w:rPr>
                <w:rStyle w:val="Hypertextovprepojenie"/>
                <w:rFonts w:cs="Calibri Light"/>
                <w:b/>
                <w:bCs/>
                <w:noProof/>
                <w:shd w:val="clear" w:color="auto" w:fill="FFFFFF"/>
                <w:lang w:val="en-GB"/>
              </w:rPr>
              <w:t>Recommendations for improving the current situation</w:t>
            </w:r>
            <w:r w:rsidRPr="00270C68">
              <w:rPr>
                <w:b/>
                <w:bCs/>
                <w:noProof/>
                <w:webHidden/>
              </w:rPr>
              <w:tab/>
            </w:r>
            <w:r w:rsidRPr="00270C68">
              <w:rPr>
                <w:b/>
                <w:bCs/>
                <w:noProof/>
                <w:webHidden/>
              </w:rPr>
              <w:fldChar w:fldCharType="begin"/>
            </w:r>
            <w:r w:rsidRPr="00270C68">
              <w:rPr>
                <w:b/>
                <w:bCs/>
                <w:noProof/>
                <w:webHidden/>
              </w:rPr>
              <w:instrText xml:space="preserve"> PAGEREF _Toc202166689 \h </w:instrText>
            </w:r>
            <w:r w:rsidRPr="00270C68">
              <w:rPr>
                <w:b/>
                <w:bCs/>
                <w:noProof/>
                <w:webHidden/>
              </w:rPr>
            </w:r>
            <w:r w:rsidRPr="00270C68">
              <w:rPr>
                <w:b/>
                <w:bCs/>
                <w:noProof/>
                <w:webHidden/>
              </w:rPr>
              <w:fldChar w:fldCharType="separate"/>
            </w:r>
            <w:r w:rsidRPr="00270C68">
              <w:rPr>
                <w:b/>
                <w:bCs/>
                <w:noProof/>
                <w:webHidden/>
              </w:rPr>
              <w:t>34</w:t>
            </w:r>
            <w:r w:rsidRPr="00270C68">
              <w:rPr>
                <w:b/>
                <w:bCs/>
                <w:noProof/>
                <w:webHidden/>
              </w:rPr>
              <w:fldChar w:fldCharType="end"/>
            </w:r>
          </w:hyperlink>
        </w:p>
        <w:p w14:paraId="1BAAB7CB" w14:textId="38B7628E" w:rsidR="00FD740D" w:rsidRPr="00270C68" w:rsidRDefault="00FD740D">
          <w:pPr>
            <w:rPr>
              <w:b/>
              <w:bCs/>
            </w:rPr>
          </w:pPr>
          <w:r w:rsidRPr="00270C68">
            <w:rPr>
              <w:b/>
              <w:bCs/>
            </w:rPr>
            <w:fldChar w:fldCharType="end"/>
          </w:r>
        </w:p>
      </w:sdtContent>
    </w:sdt>
    <w:p w14:paraId="14FAECB6" w14:textId="77777777" w:rsidR="00FD740D" w:rsidRDefault="00FD740D"/>
    <w:p w14:paraId="2877D7B9" w14:textId="77777777" w:rsidR="00FD740D" w:rsidRDefault="00FD740D"/>
    <w:p w14:paraId="7E5E5A4B" w14:textId="77777777" w:rsidR="00806CEB" w:rsidRDefault="00806CEB"/>
    <w:p w14:paraId="10A695F1" w14:textId="77777777" w:rsidR="00806CEB" w:rsidRDefault="00806CEB"/>
    <w:p w14:paraId="750BE32B" w14:textId="77777777" w:rsidR="00806CEB" w:rsidRDefault="00806CEB"/>
    <w:p w14:paraId="5CC6A5A5" w14:textId="77777777" w:rsidR="00806CEB" w:rsidRDefault="00806CEB"/>
    <w:p w14:paraId="26B95AD7" w14:textId="77777777" w:rsidR="00806CEB" w:rsidRDefault="00806CEB"/>
    <w:p w14:paraId="0AD188FC" w14:textId="77777777" w:rsidR="00806CEB" w:rsidRDefault="00806CEB"/>
    <w:p w14:paraId="22DBD0A3" w14:textId="77777777" w:rsidR="00806CEB" w:rsidRDefault="00806CEB"/>
    <w:p w14:paraId="546D06BC" w14:textId="77777777" w:rsidR="00806CEB" w:rsidRDefault="00806CEB"/>
    <w:p w14:paraId="53157B2B" w14:textId="77777777" w:rsidR="00806CEB" w:rsidRDefault="00806CEB"/>
    <w:p w14:paraId="2B2E8FB2" w14:textId="77777777" w:rsidR="00806CEB" w:rsidRDefault="00806CEB"/>
    <w:p w14:paraId="4C59345E" w14:textId="77777777" w:rsidR="00806CEB" w:rsidRDefault="00806CEB"/>
    <w:p w14:paraId="0AAA3C31" w14:textId="77777777" w:rsidR="00806CEB" w:rsidRDefault="00806CEB"/>
    <w:p w14:paraId="3E71FF65" w14:textId="77777777" w:rsidR="00806CEB" w:rsidRDefault="00806CEB"/>
    <w:p w14:paraId="0C5E42C1" w14:textId="77777777" w:rsidR="00806CEB" w:rsidRDefault="00806CEB"/>
    <w:p w14:paraId="7C2649DB" w14:textId="1806C6C0" w:rsidR="00806CEB" w:rsidRDefault="005B5078" w:rsidP="0092788C">
      <w:pPr>
        <w:pStyle w:val="Nadpis1"/>
        <w:rPr>
          <w:b/>
          <w:bCs/>
        </w:rPr>
      </w:pPr>
      <w:bookmarkStart w:id="0" w:name="_Toc202166677"/>
      <w:proofErr w:type="spellStart"/>
      <w:r w:rsidRPr="0092788C">
        <w:rPr>
          <w:b/>
          <w:bCs/>
        </w:rPr>
        <w:lastRenderedPageBreak/>
        <w:t>Graphs</w:t>
      </w:r>
      <w:bookmarkEnd w:id="0"/>
      <w:proofErr w:type="spellEnd"/>
    </w:p>
    <w:p w14:paraId="7FAC5D18" w14:textId="746FB6AF"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r>
        <w:fldChar w:fldCharType="begin"/>
      </w:r>
      <w:r>
        <w:instrText xml:space="preserve"> TOC \h \z \c "Graph " </w:instrText>
      </w:r>
      <w:r>
        <w:fldChar w:fldCharType="separate"/>
      </w:r>
      <w:hyperlink w:anchor="_Toc202166631" w:history="1">
        <w:r w:rsidRPr="00F36DD7">
          <w:rPr>
            <w:rStyle w:val="Hypertextovprepojenie"/>
            <w:noProof/>
          </w:rPr>
          <w:t>Graph  1 European Innovation Scoreboard - Summary Innovation Index</w:t>
        </w:r>
        <w:r w:rsidRPr="00F36DD7">
          <w:rPr>
            <w:noProof/>
            <w:webHidden/>
          </w:rPr>
          <w:tab/>
        </w:r>
        <w:r w:rsidRPr="00F36DD7">
          <w:rPr>
            <w:noProof/>
            <w:webHidden/>
          </w:rPr>
          <w:fldChar w:fldCharType="begin"/>
        </w:r>
        <w:r w:rsidRPr="00F36DD7">
          <w:rPr>
            <w:noProof/>
            <w:webHidden/>
          </w:rPr>
          <w:instrText xml:space="preserve"> PAGEREF _Toc202166631 \h </w:instrText>
        </w:r>
        <w:r w:rsidRPr="00F36DD7">
          <w:rPr>
            <w:noProof/>
            <w:webHidden/>
          </w:rPr>
        </w:r>
        <w:r w:rsidRPr="00F36DD7">
          <w:rPr>
            <w:noProof/>
            <w:webHidden/>
          </w:rPr>
          <w:fldChar w:fldCharType="separate"/>
        </w:r>
        <w:r w:rsidRPr="00F36DD7">
          <w:rPr>
            <w:noProof/>
            <w:webHidden/>
          </w:rPr>
          <w:t>9</w:t>
        </w:r>
        <w:r w:rsidRPr="00F36DD7">
          <w:rPr>
            <w:noProof/>
            <w:webHidden/>
          </w:rPr>
          <w:fldChar w:fldCharType="end"/>
        </w:r>
      </w:hyperlink>
    </w:p>
    <w:p w14:paraId="127C4DC5" w14:textId="79F43F09"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2" w:history="1">
        <w:r w:rsidRPr="00F36DD7">
          <w:rPr>
            <w:rStyle w:val="Hypertextovprepojenie"/>
            <w:noProof/>
          </w:rPr>
          <w:t>Graph  2 European Innovation Scoreboard - Summary Innovation Index - progress</w:t>
        </w:r>
        <w:r w:rsidRPr="00F36DD7">
          <w:rPr>
            <w:noProof/>
            <w:webHidden/>
          </w:rPr>
          <w:tab/>
        </w:r>
        <w:r w:rsidRPr="00F36DD7">
          <w:rPr>
            <w:noProof/>
            <w:webHidden/>
          </w:rPr>
          <w:fldChar w:fldCharType="begin"/>
        </w:r>
        <w:r w:rsidRPr="00F36DD7">
          <w:rPr>
            <w:noProof/>
            <w:webHidden/>
          </w:rPr>
          <w:instrText xml:space="preserve"> PAGEREF _Toc202166632 \h </w:instrText>
        </w:r>
        <w:r w:rsidRPr="00F36DD7">
          <w:rPr>
            <w:noProof/>
            <w:webHidden/>
          </w:rPr>
        </w:r>
        <w:r w:rsidRPr="00F36DD7">
          <w:rPr>
            <w:noProof/>
            <w:webHidden/>
          </w:rPr>
          <w:fldChar w:fldCharType="separate"/>
        </w:r>
        <w:r w:rsidRPr="00F36DD7">
          <w:rPr>
            <w:noProof/>
            <w:webHidden/>
          </w:rPr>
          <w:t>9</w:t>
        </w:r>
        <w:r w:rsidRPr="00F36DD7">
          <w:rPr>
            <w:noProof/>
            <w:webHidden/>
          </w:rPr>
          <w:fldChar w:fldCharType="end"/>
        </w:r>
      </w:hyperlink>
    </w:p>
    <w:p w14:paraId="45C02F58" w14:textId="25D0B453"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3" w:history="1">
        <w:r w:rsidRPr="00F36DD7">
          <w:rPr>
            <w:rStyle w:val="Hypertextovprepojenie"/>
            <w:noProof/>
          </w:rPr>
          <w:t>Graph  3 Regional Innovation Scoreboard - Innovation Index</w:t>
        </w:r>
        <w:r w:rsidRPr="00F36DD7">
          <w:rPr>
            <w:noProof/>
            <w:webHidden/>
          </w:rPr>
          <w:tab/>
        </w:r>
        <w:r w:rsidRPr="00F36DD7">
          <w:rPr>
            <w:noProof/>
            <w:webHidden/>
          </w:rPr>
          <w:fldChar w:fldCharType="begin"/>
        </w:r>
        <w:r w:rsidRPr="00F36DD7">
          <w:rPr>
            <w:noProof/>
            <w:webHidden/>
          </w:rPr>
          <w:instrText xml:space="preserve"> PAGEREF _Toc202166633 \h </w:instrText>
        </w:r>
        <w:r w:rsidRPr="00F36DD7">
          <w:rPr>
            <w:noProof/>
            <w:webHidden/>
          </w:rPr>
        </w:r>
        <w:r w:rsidRPr="00F36DD7">
          <w:rPr>
            <w:noProof/>
            <w:webHidden/>
          </w:rPr>
          <w:fldChar w:fldCharType="separate"/>
        </w:r>
        <w:r w:rsidRPr="00F36DD7">
          <w:rPr>
            <w:noProof/>
            <w:webHidden/>
          </w:rPr>
          <w:t>11</w:t>
        </w:r>
        <w:r w:rsidRPr="00F36DD7">
          <w:rPr>
            <w:noProof/>
            <w:webHidden/>
          </w:rPr>
          <w:fldChar w:fldCharType="end"/>
        </w:r>
      </w:hyperlink>
    </w:p>
    <w:p w14:paraId="78E52652" w14:textId="4458EDB3"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4" w:history="1">
        <w:r w:rsidRPr="00F36DD7">
          <w:rPr>
            <w:rStyle w:val="Hypertextovprepojenie"/>
            <w:noProof/>
          </w:rPr>
          <w:t>Graph  4 R&amp;D investments (%GDP)</w:t>
        </w:r>
        <w:r w:rsidRPr="00F36DD7">
          <w:rPr>
            <w:noProof/>
            <w:webHidden/>
          </w:rPr>
          <w:tab/>
        </w:r>
        <w:r w:rsidRPr="00F36DD7">
          <w:rPr>
            <w:noProof/>
            <w:webHidden/>
          </w:rPr>
          <w:fldChar w:fldCharType="begin"/>
        </w:r>
        <w:r w:rsidRPr="00F36DD7">
          <w:rPr>
            <w:noProof/>
            <w:webHidden/>
          </w:rPr>
          <w:instrText xml:space="preserve"> PAGEREF _Toc202166634 \h </w:instrText>
        </w:r>
        <w:r w:rsidRPr="00F36DD7">
          <w:rPr>
            <w:noProof/>
            <w:webHidden/>
          </w:rPr>
        </w:r>
        <w:r w:rsidRPr="00F36DD7">
          <w:rPr>
            <w:noProof/>
            <w:webHidden/>
          </w:rPr>
          <w:fldChar w:fldCharType="separate"/>
        </w:r>
        <w:r w:rsidRPr="00F36DD7">
          <w:rPr>
            <w:noProof/>
            <w:webHidden/>
          </w:rPr>
          <w:t>12</w:t>
        </w:r>
        <w:r w:rsidRPr="00F36DD7">
          <w:rPr>
            <w:noProof/>
            <w:webHidden/>
          </w:rPr>
          <w:fldChar w:fldCharType="end"/>
        </w:r>
      </w:hyperlink>
    </w:p>
    <w:p w14:paraId="09FC1273" w14:textId="7D69A428"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5" w:history="1">
        <w:r w:rsidRPr="00F36DD7">
          <w:rPr>
            <w:rStyle w:val="Hypertextovprepojenie"/>
            <w:noProof/>
          </w:rPr>
          <w:t>Graph  5 R&amp;D investments (mil. €)</w:t>
        </w:r>
        <w:r w:rsidRPr="00F36DD7">
          <w:rPr>
            <w:noProof/>
            <w:webHidden/>
          </w:rPr>
          <w:tab/>
        </w:r>
        <w:r w:rsidRPr="00F36DD7">
          <w:rPr>
            <w:noProof/>
            <w:webHidden/>
          </w:rPr>
          <w:fldChar w:fldCharType="begin"/>
        </w:r>
        <w:r w:rsidRPr="00F36DD7">
          <w:rPr>
            <w:noProof/>
            <w:webHidden/>
          </w:rPr>
          <w:instrText xml:space="preserve"> PAGEREF _Toc202166635 \h </w:instrText>
        </w:r>
        <w:r w:rsidRPr="00F36DD7">
          <w:rPr>
            <w:noProof/>
            <w:webHidden/>
          </w:rPr>
        </w:r>
        <w:r w:rsidRPr="00F36DD7">
          <w:rPr>
            <w:noProof/>
            <w:webHidden/>
          </w:rPr>
          <w:fldChar w:fldCharType="separate"/>
        </w:r>
        <w:r w:rsidRPr="00F36DD7">
          <w:rPr>
            <w:noProof/>
            <w:webHidden/>
          </w:rPr>
          <w:t>13</w:t>
        </w:r>
        <w:r w:rsidRPr="00F36DD7">
          <w:rPr>
            <w:noProof/>
            <w:webHidden/>
          </w:rPr>
          <w:fldChar w:fldCharType="end"/>
        </w:r>
      </w:hyperlink>
    </w:p>
    <w:p w14:paraId="265C8698" w14:textId="1475ABDF"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6" w:history="1">
        <w:r w:rsidRPr="00F36DD7">
          <w:rPr>
            <w:rStyle w:val="Hypertextovprepojenie"/>
            <w:noProof/>
          </w:rPr>
          <w:t>Graph  6 R&amp;D investments in the business sector</w:t>
        </w:r>
        <w:r w:rsidRPr="00F36DD7">
          <w:rPr>
            <w:noProof/>
            <w:webHidden/>
          </w:rPr>
          <w:tab/>
        </w:r>
        <w:r w:rsidRPr="00F36DD7">
          <w:rPr>
            <w:noProof/>
            <w:webHidden/>
          </w:rPr>
          <w:fldChar w:fldCharType="begin"/>
        </w:r>
        <w:r w:rsidRPr="00F36DD7">
          <w:rPr>
            <w:noProof/>
            <w:webHidden/>
          </w:rPr>
          <w:instrText xml:space="preserve"> PAGEREF _Toc202166636 \h </w:instrText>
        </w:r>
        <w:r w:rsidRPr="00F36DD7">
          <w:rPr>
            <w:noProof/>
            <w:webHidden/>
          </w:rPr>
        </w:r>
        <w:r w:rsidRPr="00F36DD7">
          <w:rPr>
            <w:noProof/>
            <w:webHidden/>
          </w:rPr>
          <w:fldChar w:fldCharType="separate"/>
        </w:r>
        <w:r w:rsidRPr="00F36DD7">
          <w:rPr>
            <w:noProof/>
            <w:webHidden/>
          </w:rPr>
          <w:t>13</w:t>
        </w:r>
        <w:r w:rsidRPr="00F36DD7">
          <w:rPr>
            <w:noProof/>
            <w:webHidden/>
          </w:rPr>
          <w:fldChar w:fldCharType="end"/>
        </w:r>
      </w:hyperlink>
    </w:p>
    <w:p w14:paraId="46A42D44" w14:textId="5AA5B72C"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7" w:history="1">
        <w:r w:rsidRPr="00F36DD7">
          <w:rPr>
            <w:rStyle w:val="Hypertextovprepojenie"/>
            <w:noProof/>
          </w:rPr>
          <w:t>Graph  7 Gross graduation ratio from first degree programmes (ISCED 6 and 7) in tertiary education (%)</w:t>
        </w:r>
        <w:r w:rsidRPr="00F36DD7">
          <w:rPr>
            <w:noProof/>
            <w:webHidden/>
          </w:rPr>
          <w:tab/>
        </w:r>
        <w:r w:rsidRPr="00F36DD7">
          <w:rPr>
            <w:noProof/>
            <w:webHidden/>
          </w:rPr>
          <w:fldChar w:fldCharType="begin"/>
        </w:r>
        <w:r w:rsidRPr="00F36DD7">
          <w:rPr>
            <w:noProof/>
            <w:webHidden/>
          </w:rPr>
          <w:instrText xml:space="preserve"> PAGEREF _Toc202166637 \h </w:instrText>
        </w:r>
        <w:r w:rsidRPr="00F36DD7">
          <w:rPr>
            <w:noProof/>
            <w:webHidden/>
          </w:rPr>
        </w:r>
        <w:r w:rsidRPr="00F36DD7">
          <w:rPr>
            <w:noProof/>
            <w:webHidden/>
          </w:rPr>
          <w:fldChar w:fldCharType="separate"/>
        </w:r>
        <w:r w:rsidRPr="00F36DD7">
          <w:rPr>
            <w:noProof/>
            <w:webHidden/>
          </w:rPr>
          <w:t>14</w:t>
        </w:r>
        <w:r w:rsidRPr="00F36DD7">
          <w:rPr>
            <w:noProof/>
            <w:webHidden/>
          </w:rPr>
          <w:fldChar w:fldCharType="end"/>
        </w:r>
      </w:hyperlink>
    </w:p>
    <w:p w14:paraId="23695E73" w14:textId="630902F7"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8" w:history="1">
        <w:r w:rsidRPr="00F36DD7">
          <w:rPr>
            <w:rStyle w:val="Hypertextovprepojenie"/>
            <w:noProof/>
          </w:rPr>
          <w:t>Graph  8 Graduation ratio in tertiary education, 25-34 years(%)</w:t>
        </w:r>
        <w:r w:rsidRPr="00F36DD7">
          <w:rPr>
            <w:noProof/>
            <w:webHidden/>
          </w:rPr>
          <w:tab/>
        </w:r>
        <w:r w:rsidRPr="00F36DD7">
          <w:rPr>
            <w:noProof/>
            <w:webHidden/>
          </w:rPr>
          <w:fldChar w:fldCharType="begin"/>
        </w:r>
        <w:r w:rsidRPr="00F36DD7">
          <w:rPr>
            <w:noProof/>
            <w:webHidden/>
          </w:rPr>
          <w:instrText xml:space="preserve"> PAGEREF _Toc202166638 \h </w:instrText>
        </w:r>
        <w:r w:rsidRPr="00F36DD7">
          <w:rPr>
            <w:noProof/>
            <w:webHidden/>
          </w:rPr>
        </w:r>
        <w:r w:rsidRPr="00F36DD7">
          <w:rPr>
            <w:noProof/>
            <w:webHidden/>
          </w:rPr>
          <w:fldChar w:fldCharType="separate"/>
        </w:r>
        <w:r w:rsidRPr="00F36DD7">
          <w:rPr>
            <w:noProof/>
            <w:webHidden/>
          </w:rPr>
          <w:t>15</w:t>
        </w:r>
        <w:r w:rsidRPr="00F36DD7">
          <w:rPr>
            <w:noProof/>
            <w:webHidden/>
          </w:rPr>
          <w:fldChar w:fldCharType="end"/>
        </w:r>
      </w:hyperlink>
    </w:p>
    <w:p w14:paraId="1C5925F7" w14:textId="4C636DA3"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39" w:history="1">
        <w:r w:rsidRPr="00F36DD7">
          <w:rPr>
            <w:rStyle w:val="Hypertextovprepojenie"/>
            <w:noProof/>
          </w:rPr>
          <w:t>Graph  9 Graduates at doctoral level, in science, math., computing, engineering, manufacturing, construction, by sex - per 1000 of population aged 25-34</w:t>
        </w:r>
        <w:r w:rsidRPr="00F36DD7">
          <w:rPr>
            <w:noProof/>
            <w:webHidden/>
          </w:rPr>
          <w:tab/>
        </w:r>
        <w:r w:rsidRPr="00F36DD7">
          <w:rPr>
            <w:noProof/>
            <w:webHidden/>
          </w:rPr>
          <w:fldChar w:fldCharType="begin"/>
        </w:r>
        <w:r w:rsidRPr="00F36DD7">
          <w:rPr>
            <w:noProof/>
            <w:webHidden/>
          </w:rPr>
          <w:instrText xml:space="preserve"> PAGEREF _Toc202166639 \h </w:instrText>
        </w:r>
        <w:r w:rsidRPr="00F36DD7">
          <w:rPr>
            <w:noProof/>
            <w:webHidden/>
          </w:rPr>
        </w:r>
        <w:r w:rsidRPr="00F36DD7">
          <w:rPr>
            <w:noProof/>
            <w:webHidden/>
          </w:rPr>
          <w:fldChar w:fldCharType="separate"/>
        </w:r>
        <w:r w:rsidRPr="00F36DD7">
          <w:rPr>
            <w:noProof/>
            <w:webHidden/>
          </w:rPr>
          <w:t>15</w:t>
        </w:r>
        <w:r w:rsidRPr="00F36DD7">
          <w:rPr>
            <w:noProof/>
            <w:webHidden/>
          </w:rPr>
          <w:fldChar w:fldCharType="end"/>
        </w:r>
      </w:hyperlink>
    </w:p>
    <w:p w14:paraId="23123373" w14:textId="36B2B37B"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0" w:history="1">
        <w:r w:rsidRPr="00F36DD7">
          <w:rPr>
            <w:rStyle w:val="Hypertextovprepojenie"/>
            <w:noProof/>
          </w:rPr>
          <w:t>Graph  10 Researchers per million ihnabitants (FTE)</w:t>
        </w:r>
        <w:r w:rsidRPr="00F36DD7">
          <w:rPr>
            <w:noProof/>
            <w:webHidden/>
          </w:rPr>
          <w:tab/>
        </w:r>
        <w:r w:rsidRPr="00F36DD7">
          <w:rPr>
            <w:noProof/>
            <w:webHidden/>
          </w:rPr>
          <w:fldChar w:fldCharType="begin"/>
        </w:r>
        <w:r w:rsidRPr="00F36DD7">
          <w:rPr>
            <w:noProof/>
            <w:webHidden/>
          </w:rPr>
          <w:instrText xml:space="preserve"> PAGEREF _Toc202166640 \h </w:instrText>
        </w:r>
        <w:r w:rsidRPr="00F36DD7">
          <w:rPr>
            <w:noProof/>
            <w:webHidden/>
          </w:rPr>
        </w:r>
        <w:r w:rsidRPr="00F36DD7">
          <w:rPr>
            <w:noProof/>
            <w:webHidden/>
          </w:rPr>
          <w:fldChar w:fldCharType="separate"/>
        </w:r>
        <w:r w:rsidRPr="00F36DD7">
          <w:rPr>
            <w:noProof/>
            <w:webHidden/>
          </w:rPr>
          <w:t>16</w:t>
        </w:r>
        <w:r w:rsidRPr="00F36DD7">
          <w:rPr>
            <w:noProof/>
            <w:webHidden/>
          </w:rPr>
          <w:fldChar w:fldCharType="end"/>
        </w:r>
      </w:hyperlink>
    </w:p>
    <w:p w14:paraId="0C4C7788" w14:textId="05A3F060"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1" w:history="1">
        <w:r w:rsidRPr="00F36DD7">
          <w:rPr>
            <w:rStyle w:val="Hypertextovprepojenie"/>
            <w:noProof/>
          </w:rPr>
          <w:t>Graph  11 Researchers - % Female</w:t>
        </w:r>
        <w:r w:rsidRPr="00F36DD7">
          <w:rPr>
            <w:noProof/>
            <w:webHidden/>
          </w:rPr>
          <w:tab/>
        </w:r>
        <w:r w:rsidRPr="00F36DD7">
          <w:rPr>
            <w:noProof/>
            <w:webHidden/>
          </w:rPr>
          <w:fldChar w:fldCharType="begin"/>
        </w:r>
        <w:r w:rsidRPr="00F36DD7">
          <w:rPr>
            <w:noProof/>
            <w:webHidden/>
          </w:rPr>
          <w:instrText xml:space="preserve"> PAGEREF _Toc202166641 \h </w:instrText>
        </w:r>
        <w:r w:rsidRPr="00F36DD7">
          <w:rPr>
            <w:noProof/>
            <w:webHidden/>
          </w:rPr>
        </w:r>
        <w:r w:rsidRPr="00F36DD7">
          <w:rPr>
            <w:noProof/>
            <w:webHidden/>
          </w:rPr>
          <w:fldChar w:fldCharType="separate"/>
        </w:r>
        <w:r w:rsidRPr="00F36DD7">
          <w:rPr>
            <w:noProof/>
            <w:webHidden/>
          </w:rPr>
          <w:t>17</w:t>
        </w:r>
        <w:r w:rsidRPr="00F36DD7">
          <w:rPr>
            <w:noProof/>
            <w:webHidden/>
          </w:rPr>
          <w:fldChar w:fldCharType="end"/>
        </w:r>
      </w:hyperlink>
    </w:p>
    <w:p w14:paraId="6C924B16" w14:textId="7FBDC09E"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2" w:history="1">
        <w:r w:rsidRPr="00F36DD7">
          <w:rPr>
            <w:rStyle w:val="Hypertextovprepojenie"/>
            <w:noProof/>
          </w:rPr>
          <w:t>Graph  12 Innovative companies (%)</w:t>
        </w:r>
        <w:r w:rsidRPr="00F36DD7">
          <w:rPr>
            <w:noProof/>
            <w:webHidden/>
          </w:rPr>
          <w:tab/>
        </w:r>
        <w:r w:rsidRPr="00F36DD7">
          <w:rPr>
            <w:noProof/>
            <w:webHidden/>
          </w:rPr>
          <w:fldChar w:fldCharType="begin"/>
        </w:r>
        <w:r w:rsidRPr="00F36DD7">
          <w:rPr>
            <w:noProof/>
            <w:webHidden/>
          </w:rPr>
          <w:instrText xml:space="preserve"> PAGEREF _Toc202166642 \h </w:instrText>
        </w:r>
        <w:r w:rsidRPr="00F36DD7">
          <w:rPr>
            <w:noProof/>
            <w:webHidden/>
          </w:rPr>
        </w:r>
        <w:r w:rsidRPr="00F36DD7">
          <w:rPr>
            <w:noProof/>
            <w:webHidden/>
          </w:rPr>
          <w:fldChar w:fldCharType="separate"/>
        </w:r>
        <w:r w:rsidRPr="00F36DD7">
          <w:rPr>
            <w:noProof/>
            <w:webHidden/>
          </w:rPr>
          <w:t>18</w:t>
        </w:r>
        <w:r w:rsidRPr="00F36DD7">
          <w:rPr>
            <w:noProof/>
            <w:webHidden/>
          </w:rPr>
          <w:fldChar w:fldCharType="end"/>
        </w:r>
      </w:hyperlink>
    </w:p>
    <w:p w14:paraId="43576B0D" w14:textId="0CC67459"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3" w:history="1">
        <w:r w:rsidRPr="00F36DD7">
          <w:rPr>
            <w:rStyle w:val="Hypertextovprepojenie"/>
            <w:noProof/>
          </w:rPr>
          <w:t>Graph  13 Enterprises that co-operated on business activities with other entities (%)</w:t>
        </w:r>
        <w:r w:rsidRPr="00F36DD7">
          <w:rPr>
            <w:noProof/>
            <w:webHidden/>
          </w:rPr>
          <w:tab/>
        </w:r>
        <w:r w:rsidRPr="00F36DD7">
          <w:rPr>
            <w:noProof/>
            <w:webHidden/>
          </w:rPr>
          <w:fldChar w:fldCharType="begin"/>
        </w:r>
        <w:r w:rsidRPr="00F36DD7">
          <w:rPr>
            <w:noProof/>
            <w:webHidden/>
          </w:rPr>
          <w:instrText xml:space="preserve"> PAGEREF _Toc202166643 \h </w:instrText>
        </w:r>
        <w:r w:rsidRPr="00F36DD7">
          <w:rPr>
            <w:noProof/>
            <w:webHidden/>
          </w:rPr>
        </w:r>
        <w:r w:rsidRPr="00F36DD7">
          <w:rPr>
            <w:noProof/>
            <w:webHidden/>
          </w:rPr>
          <w:fldChar w:fldCharType="separate"/>
        </w:r>
        <w:r w:rsidRPr="00F36DD7">
          <w:rPr>
            <w:noProof/>
            <w:webHidden/>
          </w:rPr>
          <w:t>18</w:t>
        </w:r>
        <w:r w:rsidRPr="00F36DD7">
          <w:rPr>
            <w:noProof/>
            <w:webHidden/>
          </w:rPr>
          <w:fldChar w:fldCharType="end"/>
        </w:r>
      </w:hyperlink>
    </w:p>
    <w:p w14:paraId="0BB2A678" w14:textId="6BBC29B8"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4" w:history="1">
        <w:r w:rsidRPr="00F36DD7">
          <w:rPr>
            <w:rStyle w:val="Hypertextovprepojenie"/>
            <w:noProof/>
          </w:rPr>
          <w:t>Graph  14 Venture capital expenditures (% of GDP)</w:t>
        </w:r>
        <w:r w:rsidRPr="00F36DD7">
          <w:rPr>
            <w:noProof/>
            <w:webHidden/>
          </w:rPr>
          <w:tab/>
        </w:r>
        <w:r w:rsidRPr="00F36DD7">
          <w:rPr>
            <w:noProof/>
            <w:webHidden/>
          </w:rPr>
          <w:fldChar w:fldCharType="begin"/>
        </w:r>
        <w:r w:rsidRPr="00F36DD7">
          <w:rPr>
            <w:noProof/>
            <w:webHidden/>
          </w:rPr>
          <w:instrText xml:space="preserve"> PAGEREF _Toc202166644 \h </w:instrText>
        </w:r>
        <w:r w:rsidRPr="00F36DD7">
          <w:rPr>
            <w:noProof/>
            <w:webHidden/>
          </w:rPr>
        </w:r>
        <w:r w:rsidRPr="00F36DD7">
          <w:rPr>
            <w:noProof/>
            <w:webHidden/>
          </w:rPr>
          <w:fldChar w:fldCharType="separate"/>
        </w:r>
        <w:r w:rsidRPr="00F36DD7">
          <w:rPr>
            <w:noProof/>
            <w:webHidden/>
          </w:rPr>
          <w:t>19</w:t>
        </w:r>
        <w:r w:rsidRPr="00F36DD7">
          <w:rPr>
            <w:noProof/>
            <w:webHidden/>
          </w:rPr>
          <w:fldChar w:fldCharType="end"/>
        </w:r>
      </w:hyperlink>
    </w:p>
    <w:p w14:paraId="5FA90DC7" w14:textId="12974476"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5" w:history="1">
        <w:r w:rsidRPr="00F36DD7">
          <w:rPr>
            <w:rStyle w:val="Hypertextovprepojenie"/>
            <w:noProof/>
          </w:rPr>
          <w:t>Graph  15 EU contribution and participation in Horizon Europe</w:t>
        </w:r>
        <w:r w:rsidRPr="00F36DD7">
          <w:rPr>
            <w:noProof/>
            <w:webHidden/>
          </w:rPr>
          <w:tab/>
        </w:r>
        <w:r w:rsidRPr="00F36DD7">
          <w:rPr>
            <w:noProof/>
            <w:webHidden/>
          </w:rPr>
          <w:fldChar w:fldCharType="begin"/>
        </w:r>
        <w:r w:rsidRPr="00F36DD7">
          <w:rPr>
            <w:noProof/>
            <w:webHidden/>
          </w:rPr>
          <w:instrText xml:space="preserve"> PAGEREF _Toc202166645 \h </w:instrText>
        </w:r>
        <w:r w:rsidRPr="00F36DD7">
          <w:rPr>
            <w:noProof/>
            <w:webHidden/>
          </w:rPr>
        </w:r>
        <w:r w:rsidRPr="00F36DD7">
          <w:rPr>
            <w:noProof/>
            <w:webHidden/>
          </w:rPr>
          <w:fldChar w:fldCharType="separate"/>
        </w:r>
        <w:r w:rsidRPr="00F36DD7">
          <w:rPr>
            <w:noProof/>
            <w:webHidden/>
          </w:rPr>
          <w:t>20</w:t>
        </w:r>
        <w:r w:rsidRPr="00F36DD7">
          <w:rPr>
            <w:noProof/>
            <w:webHidden/>
          </w:rPr>
          <w:fldChar w:fldCharType="end"/>
        </w:r>
      </w:hyperlink>
    </w:p>
    <w:p w14:paraId="7382705E" w14:textId="7CD57B0A"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6" w:history="1">
        <w:r w:rsidRPr="00F36DD7">
          <w:rPr>
            <w:rStyle w:val="Hypertextovprepojenie"/>
            <w:noProof/>
          </w:rPr>
          <w:t>Graph  16 EU contribution and participation in Horizon Europe per capita</w:t>
        </w:r>
        <w:r w:rsidRPr="00F36DD7">
          <w:rPr>
            <w:noProof/>
            <w:webHidden/>
          </w:rPr>
          <w:tab/>
        </w:r>
        <w:r w:rsidRPr="00F36DD7">
          <w:rPr>
            <w:noProof/>
            <w:webHidden/>
          </w:rPr>
          <w:fldChar w:fldCharType="begin"/>
        </w:r>
        <w:r w:rsidRPr="00F36DD7">
          <w:rPr>
            <w:noProof/>
            <w:webHidden/>
          </w:rPr>
          <w:instrText xml:space="preserve"> PAGEREF _Toc202166646 \h </w:instrText>
        </w:r>
        <w:r w:rsidRPr="00F36DD7">
          <w:rPr>
            <w:noProof/>
            <w:webHidden/>
          </w:rPr>
        </w:r>
        <w:r w:rsidRPr="00F36DD7">
          <w:rPr>
            <w:noProof/>
            <w:webHidden/>
          </w:rPr>
          <w:fldChar w:fldCharType="separate"/>
        </w:r>
        <w:r w:rsidRPr="00F36DD7">
          <w:rPr>
            <w:noProof/>
            <w:webHidden/>
          </w:rPr>
          <w:t>21</w:t>
        </w:r>
        <w:r w:rsidRPr="00F36DD7">
          <w:rPr>
            <w:noProof/>
            <w:webHidden/>
          </w:rPr>
          <w:fldChar w:fldCharType="end"/>
        </w:r>
      </w:hyperlink>
    </w:p>
    <w:p w14:paraId="6E1DC79F" w14:textId="785914B3"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7" w:history="1">
        <w:r w:rsidRPr="00F36DD7">
          <w:rPr>
            <w:rStyle w:val="Hypertextovprepojenie"/>
            <w:noProof/>
          </w:rPr>
          <w:t>Graph  17  EU contribution and participation in Horizon Europe per researcher (FTE)</w:t>
        </w:r>
        <w:r w:rsidRPr="00F36DD7">
          <w:rPr>
            <w:noProof/>
            <w:webHidden/>
          </w:rPr>
          <w:tab/>
        </w:r>
        <w:r w:rsidRPr="00F36DD7">
          <w:rPr>
            <w:noProof/>
            <w:webHidden/>
          </w:rPr>
          <w:fldChar w:fldCharType="begin"/>
        </w:r>
        <w:r w:rsidRPr="00F36DD7">
          <w:rPr>
            <w:noProof/>
            <w:webHidden/>
          </w:rPr>
          <w:instrText xml:space="preserve"> PAGEREF _Toc202166647 \h </w:instrText>
        </w:r>
        <w:r w:rsidRPr="00F36DD7">
          <w:rPr>
            <w:noProof/>
            <w:webHidden/>
          </w:rPr>
        </w:r>
        <w:r w:rsidRPr="00F36DD7">
          <w:rPr>
            <w:noProof/>
            <w:webHidden/>
          </w:rPr>
          <w:fldChar w:fldCharType="separate"/>
        </w:r>
        <w:r w:rsidRPr="00F36DD7">
          <w:rPr>
            <w:noProof/>
            <w:webHidden/>
          </w:rPr>
          <w:t>21</w:t>
        </w:r>
        <w:r w:rsidRPr="00F36DD7">
          <w:rPr>
            <w:noProof/>
            <w:webHidden/>
          </w:rPr>
          <w:fldChar w:fldCharType="end"/>
        </w:r>
      </w:hyperlink>
    </w:p>
    <w:p w14:paraId="07801A2C" w14:textId="0D973B26"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8" w:history="1">
        <w:r w:rsidRPr="00F36DD7">
          <w:rPr>
            <w:rStyle w:val="Hypertextovprepojenie"/>
            <w:noProof/>
          </w:rPr>
          <w:t>Graph  18 Success rate in Horizon Europe</w:t>
        </w:r>
        <w:r w:rsidRPr="00F36DD7">
          <w:rPr>
            <w:noProof/>
            <w:webHidden/>
          </w:rPr>
          <w:tab/>
        </w:r>
        <w:r w:rsidRPr="00F36DD7">
          <w:rPr>
            <w:noProof/>
            <w:webHidden/>
          </w:rPr>
          <w:fldChar w:fldCharType="begin"/>
        </w:r>
        <w:r w:rsidRPr="00F36DD7">
          <w:rPr>
            <w:noProof/>
            <w:webHidden/>
          </w:rPr>
          <w:instrText xml:space="preserve"> PAGEREF _Toc202166648 \h </w:instrText>
        </w:r>
        <w:r w:rsidRPr="00F36DD7">
          <w:rPr>
            <w:noProof/>
            <w:webHidden/>
          </w:rPr>
        </w:r>
        <w:r w:rsidRPr="00F36DD7">
          <w:rPr>
            <w:noProof/>
            <w:webHidden/>
          </w:rPr>
          <w:fldChar w:fldCharType="separate"/>
        </w:r>
        <w:r w:rsidRPr="00F36DD7">
          <w:rPr>
            <w:noProof/>
            <w:webHidden/>
          </w:rPr>
          <w:t>22</w:t>
        </w:r>
        <w:r w:rsidRPr="00F36DD7">
          <w:rPr>
            <w:noProof/>
            <w:webHidden/>
          </w:rPr>
          <w:fldChar w:fldCharType="end"/>
        </w:r>
      </w:hyperlink>
    </w:p>
    <w:p w14:paraId="5878C3C1" w14:textId="052A27A6"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49" w:history="1">
        <w:r w:rsidRPr="00F36DD7">
          <w:rPr>
            <w:rStyle w:val="Hypertextovprepojenie"/>
            <w:noProof/>
          </w:rPr>
          <w:t>Graph  19 Average EU Contribution per participation</w:t>
        </w:r>
        <w:r w:rsidRPr="00F36DD7">
          <w:rPr>
            <w:noProof/>
            <w:webHidden/>
          </w:rPr>
          <w:tab/>
        </w:r>
        <w:r w:rsidRPr="00F36DD7">
          <w:rPr>
            <w:noProof/>
            <w:webHidden/>
          </w:rPr>
          <w:fldChar w:fldCharType="begin"/>
        </w:r>
        <w:r w:rsidRPr="00F36DD7">
          <w:rPr>
            <w:noProof/>
            <w:webHidden/>
          </w:rPr>
          <w:instrText xml:space="preserve"> PAGEREF _Toc202166649 \h </w:instrText>
        </w:r>
        <w:r w:rsidRPr="00F36DD7">
          <w:rPr>
            <w:noProof/>
            <w:webHidden/>
          </w:rPr>
        </w:r>
        <w:r w:rsidRPr="00F36DD7">
          <w:rPr>
            <w:noProof/>
            <w:webHidden/>
          </w:rPr>
          <w:fldChar w:fldCharType="separate"/>
        </w:r>
        <w:r w:rsidRPr="00F36DD7">
          <w:rPr>
            <w:noProof/>
            <w:webHidden/>
          </w:rPr>
          <w:t>23</w:t>
        </w:r>
        <w:r w:rsidRPr="00F36DD7">
          <w:rPr>
            <w:noProof/>
            <w:webHidden/>
          </w:rPr>
          <w:fldChar w:fldCharType="end"/>
        </w:r>
      </w:hyperlink>
    </w:p>
    <w:p w14:paraId="2BFA9EAD" w14:textId="50F716CB"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0" w:history="1">
        <w:r w:rsidRPr="00F36DD7">
          <w:rPr>
            <w:rStyle w:val="Hypertextovprepojenie"/>
            <w:noProof/>
          </w:rPr>
          <w:t>Graph  20 Scientific publications among the top 10% most cited</w:t>
        </w:r>
        <w:r w:rsidRPr="00F36DD7">
          <w:rPr>
            <w:noProof/>
            <w:webHidden/>
          </w:rPr>
          <w:tab/>
        </w:r>
        <w:r w:rsidRPr="00F36DD7">
          <w:rPr>
            <w:noProof/>
            <w:webHidden/>
          </w:rPr>
          <w:fldChar w:fldCharType="begin"/>
        </w:r>
        <w:r w:rsidRPr="00F36DD7">
          <w:rPr>
            <w:noProof/>
            <w:webHidden/>
          </w:rPr>
          <w:instrText xml:space="preserve"> PAGEREF _Toc202166650 \h </w:instrText>
        </w:r>
        <w:r w:rsidRPr="00F36DD7">
          <w:rPr>
            <w:noProof/>
            <w:webHidden/>
          </w:rPr>
        </w:r>
        <w:r w:rsidRPr="00F36DD7">
          <w:rPr>
            <w:noProof/>
            <w:webHidden/>
          </w:rPr>
          <w:fldChar w:fldCharType="separate"/>
        </w:r>
        <w:r w:rsidRPr="00F36DD7">
          <w:rPr>
            <w:noProof/>
            <w:webHidden/>
          </w:rPr>
          <w:t>25</w:t>
        </w:r>
        <w:r w:rsidRPr="00F36DD7">
          <w:rPr>
            <w:noProof/>
            <w:webHidden/>
          </w:rPr>
          <w:fldChar w:fldCharType="end"/>
        </w:r>
      </w:hyperlink>
    </w:p>
    <w:p w14:paraId="48A62B56" w14:textId="4F688B5E"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1" w:history="1">
        <w:r w:rsidRPr="00F36DD7">
          <w:rPr>
            <w:rStyle w:val="Hypertextovprepojenie"/>
            <w:noProof/>
          </w:rPr>
          <w:t>Graph  21 Number of publication and growth by country with other countries in the Danube region</w:t>
        </w:r>
        <w:r w:rsidRPr="00F36DD7">
          <w:rPr>
            <w:noProof/>
            <w:webHidden/>
          </w:rPr>
          <w:tab/>
        </w:r>
        <w:r w:rsidRPr="00F36DD7">
          <w:rPr>
            <w:noProof/>
            <w:webHidden/>
          </w:rPr>
          <w:fldChar w:fldCharType="begin"/>
        </w:r>
        <w:r w:rsidRPr="00F36DD7">
          <w:rPr>
            <w:noProof/>
            <w:webHidden/>
          </w:rPr>
          <w:instrText xml:space="preserve"> PAGEREF _Toc202166651 \h </w:instrText>
        </w:r>
        <w:r w:rsidRPr="00F36DD7">
          <w:rPr>
            <w:noProof/>
            <w:webHidden/>
          </w:rPr>
        </w:r>
        <w:r w:rsidRPr="00F36DD7">
          <w:rPr>
            <w:noProof/>
            <w:webHidden/>
          </w:rPr>
          <w:fldChar w:fldCharType="separate"/>
        </w:r>
        <w:r w:rsidRPr="00F36DD7">
          <w:rPr>
            <w:noProof/>
            <w:webHidden/>
          </w:rPr>
          <w:t>26</w:t>
        </w:r>
        <w:r w:rsidRPr="00F36DD7">
          <w:rPr>
            <w:noProof/>
            <w:webHidden/>
          </w:rPr>
          <w:fldChar w:fldCharType="end"/>
        </w:r>
      </w:hyperlink>
    </w:p>
    <w:p w14:paraId="29D96FF0" w14:textId="317162D7"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2" w:history="1">
        <w:r w:rsidRPr="00F36DD7">
          <w:rPr>
            <w:rStyle w:val="Hypertextovprepojenie"/>
            <w:noProof/>
          </w:rPr>
          <w:t>Graph  22 PCT patent applications per billion GDP (in PPS)</w:t>
        </w:r>
        <w:r w:rsidRPr="00F36DD7">
          <w:rPr>
            <w:noProof/>
            <w:webHidden/>
          </w:rPr>
          <w:tab/>
        </w:r>
        <w:r w:rsidRPr="00F36DD7">
          <w:rPr>
            <w:noProof/>
            <w:webHidden/>
          </w:rPr>
          <w:fldChar w:fldCharType="begin"/>
        </w:r>
        <w:r w:rsidRPr="00F36DD7">
          <w:rPr>
            <w:noProof/>
            <w:webHidden/>
          </w:rPr>
          <w:instrText xml:space="preserve"> PAGEREF _Toc202166652 \h </w:instrText>
        </w:r>
        <w:r w:rsidRPr="00F36DD7">
          <w:rPr>
            <w:noProof/>
            <w:webHidden/>
          </w:rPr>
        </w:r>
        <w:r w:rsidRPr="00F36DD7">
          <w:rPr>
            <w:noProof/>
            <w:webHidden/>
          </w:rPr>
          <w:fldChar w:fldCharType="separate"/>
        </w:r>
        <w:r w:rsidRPr="00F36DD7">
          <w:rPr>
            <w:noProof/>
            <w:webHidden/>
          </w:rPr>
          <w:t>27</w:t>
        </w:r>
        <w:r w:rsidRPr="00F36DD7">
          <w:rPr>
            <w:noProof/>
            <w:webHidden/>
          </w:rPr>
          <w:fldChar w:fldCharType="end"/>
        </w:r>
      </w:hyperlink>
    </w:p>
    <w:p w14:paraId="15A82108" w14:textId="4EFAC5A8"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3" w:history="1">
        <w:r w:rsidRPr="00F36DD7">
          <w:rPr>
            <w:rStyle w:val="Hypertextovprepojenie"/>
            <w:noProof/>
          </w:rPr>
          <w:t>Graph  23 SMEs introducing product innovations (% share)</w:t>
        </w:r>
        <w:r w:rsidRPr="00F36DD7">
          <w:rPr>
            <w:noProof/>
            <w:webHidden/>
          </w:rPr>
          <w:tab/>
        </w:r>
        <w:r w:rsidRPr="00F36DD7">
          <w:rPr>
            <w:noProof/>
            <w:webHidden/>
          </w:rPr>
          <w:fldChar w:fldCharType="begin"/>
        </w:r>
        <w:r w:rsidRPr="00F36DD7">
          <w:rPr>
            <w:noProof/>
            <w:webHidden/>
          </w:rPr>
          <w:instrText xml:space="preserve"> PAGEREF _Toc202166653 \h </w:instrText>
        </w:r>
        <w:r w:rsidRPr="00F36DD7">
          <w:rPr>
            <w:noProof/>
            <w:webHidden/>
          </w:rPr>
        </w:r>
        <w:r w:rsidRPr="00F36DD7">
          <w:rPr>
            <w:noProof/>
            <w:webHidden/>
          </w:rPr>
          <w:fldChar w:fldCharType="separate"/>
        </w:r>
        <w:r w:rsidRPr="00F36DD7">
          <w:rPr>
            <w:noProof/>
            <w:webHidden/>
          </w:rPr>
          <w:t>29</w:t>
        </w:r>
        <w:r w:rsidRPr="00F36DD7">
          <w:rPr>
            <w:noProof/>
            <w:webHidden/>
          </w:rPr>
          <w:fldChar w:fldCharType="end"/>
        </w:r>
      </w:hyperlink>
    </w:p>
    <w:p w14:paraId="6E07F763" w14:textId="3F2F4C90"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4" w:history="1">
        <w:r w:rsidRPr="00F36DD7">
          <w:rPr>
            <w:rStyle w:val="Hypertextovprepojenie"/>
            <w:noProof/>
          </w:rPr>
          <w:t>Graph  24 Employment in knowledge-intensive activities (% share)</w:t>
        </w:r>
        <w:r w:rsidRPr="00F36DD7">
          <w:rPr>
            <w:noProof/>
            <w:webHidden/>
          </w:rPr>
          <w:tab/>
        </w:r>
        <w:r w:rsidRPr="00F36DD7">
          <w:rPr>
            <w:noProof/>
            <w:webHidden/>
          </w:rPr>
          <w:fldChar w:fldCharType="begin"/>
        </w:r>
        <w:r w:rsidRPr="00F36DD7">
          <w:rPr>
            <w:noProof/>
            <w:webHidden/>
          </w:rPr>
          <w:instrText xml:space="preserve"> PAGEREF _Toc202166654 \h </w:instrText>
        </w:r>
        <w:r w:rsidRPr="00F36DD7">
          <w:rPr>
            <w:noProof/>
            <w:webHidden/>
          </w:rPr>
        </w:r>
        <w:r w:rsidRPr="00F36DD7">
          <w:rPr>
            <w:noProof/>
            <w:webHidden/>
          </w:rPr>
          <w:fldChar w:fldCharType="separate"/>
        </w:r>
        <w:r w:rsidRPr="00F36DD7">
          <w:rPr>
            <w:noProof/>
            <w:webHidden/>
          </w:rPr>
          <w:t>30</w:t>
        </w:r>
        <w:r w:rsidRPr="00F36DD7">
          <w:rPr>
            <w:noProof/>
            <w:webHidden/>
          </w:rPr>
          <w:fldChar w:fldCharType="end"/>
        </w:r>
      </w:hyperlink>
    </w:p>
    <w:p w14:paraId="42AA75BE" w14:textId="4CB75C65"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5" w:history="1">
        <w:r w:rsidRPr="00F36DD7">
          <w:rPr>
            <w:rStyle w:val="Hypertextovprepojenie"/>
            <w:noProof/>
          </w:rPr>
          <w:t>Graph  25 Sales of new-to-market and new-to-firm innovations (%)</w:t>
        </w:r>
        <w:r w:rsidRPr="00F36DD7">
          <w:rPr>
            <w:noProof/>
            <w:webHidden/>
          </w:rPr>
          <w:tab/>
        </w:r>
        <w:r w:rsidRPr="00F36DD7">
          <w:rPr>
            <w:noProof/>
            <w:webHidden/>
          </w:rPr>
          <w:fldChar w:fldCharType="begin"/>
        </w:r>
        <w:r w:rsidRPr="00F36DD7">
          <w:rPr>
            <w:noProof/>
            <w:webHidden/>
          </w:rPr>
          <w:instrText xml:space="preserve"> PAGEREF _Toc202166655 \h </w:instrText>
        </w:r>
        <w:r w:rsidRPr="00F36DD7">
          <w:rPr>
            <w:noProof/>
            <w:webHidden/>
          </w:rPr>
        </w:r>
        <w:r w:rsidRPr="00F36DD7">
          <w:rPr>
            <w:noProof/>
            <w:webHidden/>
          </w:rPr>
          <w:fldChar w:fldCharType="separate"/>
        </w:r>
        <w:r w:rsidRPr="00F36DD7">
          <w:rPr>
            <w:noProof/>
            <w:webHidden/>
          </w:rPr>
          <w:t>31</w:t>
        </w:r>
        <w:r w:rsidRPr="00F36DD7">
          <w:rPr>
            <w:noProof/>
            <w:webHidden/>
          </w:rPr>
          <w:fldChar w:fldCharType="end"/>
        </w:r>
      </w:hyperlink>
    </w:p>
    <w:p w14:paraId="2073DFB4" w14:textId="5915CC68" w:rsidR="00A02850" w:rsidRPr="00F36DD7" w:rsidRDefault="00A02850">
      <w:pPr>
        <w:pStyle w:val="Zoznamobrzkov"/>
        <w:tabs>
          <w:tab w:val="right" w:leader="dot" w:pos="9062"/>
        </w:tabs>
        <w:rPr>
          <w:rFonts w:eastAsiaTheme="minorEastAsia"/>
          <w:noProof/>
          <w:kern w:val="2"/>
          <w:sz w:val="24"/>
          <w:szCs w:val="24"/>
          <w:lang w:eastAsia="sk-SK"/>
          <w14:ligatures w14:val="standardContextual"/>
        </w:rPr>
      </w:pPr>
      <w:hyperlink w:anchor="_Toc202166656" w:history="1">
        <w:r w:rsidRPr="00F36DD7">
          <w:rPr>
            <w:rStyle w:val="Hypertextovprepojenie"/>
            <w:noProof/>
          </w:rPr>
          <w:t>Graph  26 Knowledge-intensive services exports (% share)</w:t>
        </w:r>
        <w:r w:rsidRPr="00F36DD7">
          <w:rPr>
            <w:noProof/>
            <w:webHidden/>
          </w:rPr>
          <w:tab/>
        </w:r>
        <w:r w:rsidRPr="00F36DD7">
          <w:rPr>
            <w:noProof/>
            <w:webHidden/>
          </w:rPr>
          <w:fldChar w:fldCharType="begin"/>
        </w:r>
        <w:r w:rsidRPr="00F36DD7">
          <w:rPr>
            <w:noProof/>
            <w:webHidden/>
          </w:rPr>
          <w:instrText xml:space="preserve"> PAGEREF _Toc202166656 \h </w:instrText>
        </w:r>
        <w:r w:rsidRPr="00F36DD7">
          <w:rPr>
            <w:noProof/>
            <w:webHidden/>
          </w:rPr>
        </w:r>
        <w:r w:rsidRPr="00F36DD7">
          <w:rPr>
            <w:noProof/>
            <w:webHidden/>
          </w:rPr>
          <w:fldChar w:fldCharType="separate"/>
        </w:r>
        <w:r w:rsidRPr="00F36DD7">
          <w:rPr>
            <w:noProof/>
            <w:webHidden/>
          </w:rPr>
          <w:t>31</w:t>
        </w:r>
        <w:r w:rsidRPr="00F36DD7">
          <w:rPr>
            <w:noProof/>
            <w:webHidden/>
          </w:rPr>
          <w:fldChar w:fldCharType="end"/>
        </w:r>
      </w:hyperlink>
    </w:p>
    <w:p w14:paraId="0ED91379" w14:textId="1859C287" w:rsidR="00C55B79" w:rsidRDefault="00A02850" w:rsidP="00C55B79">
      <w:r>
        <w:fldChar w:fldCharType="end"/>
      </w:r>
    </w:p>
    <w:p w14:paraId="4F0D7EBF" w14:textId="77777777" w:rsidR="00627E26" w:rsidRDefault="00627E26" w:rsidP="00C55B79"/>
    <w:p w14:paraId="261351A0" w14:textId="77777777" w:rsidR="00F36DD7" w:rsidRDefault="00F36DD7" w:rsidP="00C55B79"/>
    <w:p w14:paraId="048EA468" w14:textId="77777777" w:rsidR="00F36DD7" w:rsidRDefault="00F36DD7" w:rsidP="00C55B79"/>
    <w:p w14:paraId="60425F96" w14:textId="77777777" w:rsidR="00F36DD7" w:rsidRDefault="00F36DD7" w:rsidP="00C55B79"/>
    <w:p w14:paraId="6F4EB958" w14:textId="77777777" w:rsidR="00F36DD7" w:rsidRDefault="00F36DD7" w:rsidP="00C55B79"/>
    <w:p w14:paraId="17702F71" w14:textId="77777777" w:rsidR="00F36DD7" w:rsidRDefault="00F36DD7" w:rsidP="00C55B79"/>
    <w:p w14:paraId="361BE361" w14:textId="77777777" w:rsidR="00F36DD7" w:rsidRDefault="00F36DD7" w:rsidP="00C55B79"/>
    <w:p w14:paraId="67F8C315" w14:textId="77777777" w:rsidR="00F36DD7" w:rsidRPr="00C55B79" w:rsidRDefault="00F36DD7" w:rsidP="00C55B79"/>
    <w:p w14:paraId="3D7B59A1" w14:textId="4FE67213" w:rsidR="005B5078" w:rsidRPr="0092788C" w:rsidRDefault="00DC4D0B" w:rsidP="0092788C">
      <w:pPr>
        <w:pStyle w:val="Nadpis1"/>
        <w:rPr>
          <w:b/>
          <w:bCs/>
        </w:rPr>
      </w:pPr>
      <w:bookmarkStart w:id="1" w:name="_Toc202166678"/>
      <w:proofErr w:type="spellStart"/>
      <w:r w:rsidRPr="0092788C">
        <w:rPr>
          <w:b/>
          <w:bCs/>
        </w:rPr>
        <w:lastRenderedPageBreak/>
        <w:t>Tables</w:t>
      </w:r>
      <w:bookmarkEnd w:id="1"/>
      <w:proofErr w:type="spellEnd"/>
    </w:p>
    <w:p w14:paraId="443FA6DB" w14:textId="382C9444"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r w:rsidRPr="00F36DD7">
        <w:fldChar w:fldCharType="begin"/>
      </w:r>
      <w:r w:rsidRPr="00F36DD7">
        <w:instrText xml:space="preserve"> TOC \h \z \c "Table" </w:instrText>
      </w:r>
      <w:r w:rsidRPr="00F36DD7">
        <w:fldChar w:fldCharType="separate"/>
      </w:r>
      <w:hyperlink w:anchor="_Toc202166657" w:history="1">
        <w:r w:rsidRPr="00F36DD7">
          <w:rPr>
            <w:rStyle w:val="Hypertextovprepojenie"/>
            <w:noProof/>
          </w:rPr>
          <w:t>Table 1 Cooperation between countries in the Danube region</w:t>
        </w:r>
        <w:r w:rsidRPr="00F36DD7">
          <w:rPr>
            <w:noProof/>
            <w:webHidden/>
          </w:rPr>
          <w:tab/>
        </w:r>
        <w:r w:rsidRPr="00F36DD7">
          <w:rPr>
            <w:noProof/>
            <w:webHidden/>
          </w:rPr>
          <w:fldChar w:fldCharType="begin"/>
        </w:r>
        <w:r w:rsidRPr="00F36DD7">
          <w:rPr>
            <w:noProof/>
            <w:webHidden/>
          </w:rPr>
          <w:instrText xml:space="preserve"> PAGEREF _Toc202166657 \h </w:instrText>
        </w:r>
        <w:r w:rsidRPr="00F36DD7">
          <w:rPr>
            <w:noProof/>
            <w:webHidden/>
          </w:rPr>
        </w:r>
        <w:r w:rsidRPr="00F36DD7">
          <w:rPr>
            <w:noProof/>
            <w:webHidden/>
          </w:rPr>
          <w:fldChar w:fldCharType="separate"/>
        </w:r>
        <w:r w:rsidRPr="00F36DD7">
          <w:rPr>
            <w:noProof/>
            <w:webHidden/>
          </w:rPr>
          <w:t>23</w:t>
        </w:r>
        <w:r w:rsidRPr="00F36DD7">
          <w:rPr>
            <w:noProof/>
            <w:webHidden/>
          </w:rPr>
          <w:fldChar w:fldCharType="end"/>
        </w:r>
      </w:hyperlink>
    </w:p>
    <w:p w14:paraId="58F0EC49" w14:textId="4F6E4E97"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58" w:history="1">
        <w:r w:rsidRPr="00F36DD7">
          <w:rPr>
            <w:rStyle w:val="Hypertextovprepojenie"/>
            <w:noProof/>
          </w:rPr>
          <w:t>Table 2 Participation in MSCA</w:t>
        </w:r>
        <w:r w:rsidRPr="00F36DD7">
          <w:rPr>
            <w:noProof/>
            <w:webHidden/>
          </w:rPr>
          <w:tab/>
        </w:r>
        <w:r w:rsidRPr="00F36DD7">
          <w:rPr>
            <w:noProof/>
            <w:webHidden/>
          </w:rPr>
          <w:fldChar w:fldCharType="begin"/>
        </w:r>
        <w:r w:rsidRPr="00F36DD7">
          <w:rPr>
            <w:noProof/>
            <w:webHidden/>
          </w:rPr>
          <w:instrText xml:space="preserve"> PAGEREF _Toc202166658 \h </w:instrText>
        </w:r>
        <w:r w:rsidRPr="00F36DD7">
          <w:rPr>
            <w:noProof/>
            <w:webHidden/>
          </w:rPr>
        </w:r>
        <w:r w:rsidRPr="00F36DD7">
          <w:rPr>
            <w:noProof/>
            <w:webHidden/>
          </w:rPr>
          <w:fldChar w:fldCharType="separate"/>
        </w:r>
        <w:r w:rsidRPr="00F36DD7">
          <w:rPr>
            <w:noProof/>
            <w:webHidden/>
          </w:rPr>
          <w:t>24</w:t>
        </w:r>
        <w:r w:rsidRPr="00F36DD7">
          <w:rPr>
            <w:noProof/>
            <w:webHidden/>
          </w:rPr>
          <w:fldChar w:fldCharType="end"/>
        </w:r>
      </w:hyperlink>
    </w:p>
    <w:p w14:paraId="2DA5865C" w14:textId="38ABC19B"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59" w:history="1">
        <w:r w:rsidRPr="00F36DD7">
          <w:rPr>
            <w:rStyle w:val="Hypertextovprepojenie"/>
            <w:noProof/>
          </w:rPr>
          <w:t>Table 3 Participation in ERC</w:t>
        </w:r>
        <w:r w:rsidRPr="00F36DD7">
          <w:rPr>
            <w:noProof/>
            <w:webHidden/>
          </w:rPr>
          <w:tab/>
        </w:r>
        <w:r w:rsidRPr="00F36DD7">
          <w:rPr>
            <w:noProof/>
            <w:webHidden/>
          </w:rPr>
          <w:fldChar w:fldCharType="begin"/>
        </w:r>
        <w:r w:rsidRPr="00F36DD7">
          <w:rPr>
            <w:noProof/>
            <w:webHidden/>
          </w:rPr>
          <w:instrText xml:space="preserve"> PAGEREF _Toc202166659 \h </w:instrText>
        </w:r>
        <w:r w:rsidRPr="00F36DD7">
          <w:rPr>
            <w:noProof/>
            <w:webHidden/>
          </w:rPr>
        </w:r>
        <w:r w:rsidRPr="00F36DD7">
          <w:rPr>
            <w:noProof/>
            <w:webHidden/>
          </w:rPr>
          <w:fldChar w:fldCharType="separate"/>
        </w:r>
        <w:r w:rsidRPr="00F36DD7">
          <w:rPr>
            <w:noProof/>
            <w:webHidden/>
          </w:rPr>
          <w:t>24</w:t>
        </w:r>
        <w:r w:rsidRPr="00F36DD7">
          <w:rPr>
            <w:noProof/>
            <w:webHidden/>
          </w:rPr>
          <w:fldChar w:fldCharType="end"/>
        </w:r>
      </w:hyperlink>
    </w:p>
    <w:p w14:paraId="42204918" w14:textId="1D74B0DE"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0" w:history="1">
        <w:r w:rsidRPr="00F36DD7">
          <w:rPr>
            <w:rStyle w:val="Hypertextovprepojenie"/>
            <w:noProof/>
          </w:rPr>
          <w:t>Table 4 Number of publications  per million population</w:t>
        </w:r>
        <w:r w:rsidRPr="00F36DD7">
          <w:rPr>
            <w:noProof/>
            <w:webHidden/>
          </w:rPr>
          <w:tab/>
        </w:r>
        <w:r w:rsidRPr="00F36DD7">
          <w:rPr>
            <w:noProof/>
            <w:webHidden/>
          </w:rPr>
          <w:fldChar w:fldCharType="begin"/>
        </w:r>
        <w:r w:rsidRPr="00F36DD7">
          <w:rPr>
            <w:noProof/>
            <w:webHidden/>
          </w:rPr>
          <w:instrText xml:space="preserve"> PAGEREF _Toc202166660 \h </w:instrText>
        </w:r>
        <w:r w:rsidRPr="00F36DD7">
          <w:rPr>
            <w:noProof/>
            <w:webHidden/>
          </w:rPr>
        </w:r>
        <w:r w:rsidRPr="00F36DD7">
          <w:rPr>
            <w:noProof/>
            <w:webHidden/>
          </w:rPr>
          <w:fldChar w:fldCharType="separate"/>
        </w:r>
        <w:r w:rsidRPr="00F36DD7">
          <w:rPr>
            <w:noProof/>
            <w:webHidden/>
          </w:rPr>
          <w:t>25</w:t>
        </w:r>
        <w:r w:rsidRPr="00F36DD7">
          <w:rPr>
            <w:noProof/>
            <w:webHidden/>
          </w:rPr>
          <w:fldChar w:fldCharType="end"/>
        </w:r>
      </w:hyperlink>
    </w:p>
    <w:p w14:paraId="6BA0F71B" w14:textId="65EBF0BB"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1" w:history="1">
        <w:r w:rsidRPr="00F36DD7">
          <w:rPr>
            <w:rStyle w:val="Hypertextovprepojenie"/>
            <w:noProof/>
          </w:rPr>
          <w:t>Table 5 EPO patent applications (2019-2024)</w:t>
        </w:r>
        <w:r w:rsidRPr="00F36DD7">
          <w:rPr>
            <w:noProof/>
            <w:webHidden/>
          </w:rPr>
          <w:tab/>
        </w:r>
        <w:r w:rsidRPr="00F36DD7">
          <w:rPr>
            <w:noProof/>
            <w:webHidden/>
          </w:rPr>
          <w:fldChar w:fldCharType="begin"/>
        </w:r>
        <w:r w:rsidRPr="00F36DD7">
          <w:rPr>
            <w:noProof/>
            <w:webHidden/>
          </w:rPr>
          <w:instrText xml:space="preserve"> PAGEREF _Toc202166661 \h </w:instrText>
        </w:r>
        <w:r w:rsidRPr="00F36DD7">
          <w:rPr>
            <w:noProof/>
            <w:webHidden/>
          </w:rPr>
        </w:r>
        <w:r w:rsidRPr="00F36DD7">
          <w:rPr>
            <w:noProof/>
            <w:webHidden/>
          </w:rPr>
          <w:fldChar w:fldCharType="separate"/>
        </w:r>
        <w:r w:rsidRPr="00F36DD7">
          <w:rPr>
            <w:noProof/>
            <w:webHidden/>
          </w:rPr>
          <w:t>27</w:t>
        </w:r>
        <w:r w:rsidRPr="00F36DD7">
          <w:rPr>
            <w:noProof/>
            <w:webHidden/>
          </w:rPr>
          <w:fldChar w:fldCharType="end"/>
        </w:r>
      </w:hyperlink>
    </w:p>
    <w:p w14:paraId="1934BB66" w14:textId="55C59477"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2" w:history="1">
        <w:r w:rsidRPr="00F36DD7">
          <w:rPr>
            <w:rStyle w:val="Hypertextovprepojenie"/>
            <w:noProof/>
          </w:rPr>
          <w:t>Table 6 European patent applications per million population</w:t>
        </w:r>
        <w:r w:rsidRPr="00F36DD7">
          <w:rPr>
            <w:noProof/>
            <w:webHidden/>
          </w:rPr>
          <w:tab/>
        </w:r>
        <w:r w:rsidRPr="00F36DD7">
          <w:rPr>
            <w:noProof/>
            <w:webHidden/>
          </w:rPr>
          <w:fldChar w:fldCharType="begin"/>
        </w:r>
        <w:r w:rsidRPr="00F36DD7">
          <w:rPr>
            <w:noProof/>
            <w:webHidden/>
          </w:rPr>
          <w:instrText xml:space="preserve"> PAGEREF _Toc202166662 \h </w:instrText>
        </w:r>
        <w:r w:rsidRPr="00F36DD7">
          <w:rPr>
            <w:noProof/>
            <w:webHidden/>
          </w:rPr>
        </w:r>
        <w:r w:rsidRPr="00F36DD7">
          <w:rPr>
            <w:noProof/>
            <w:webHidden/>
          </w:rPr>
          <w:fldChar w:fldCharType="separate"/>
        </w:r>
        <w:r w:rsidRPr="00F36DD7">
          <w:rPr>
            <w:noProof/>
            <w:webHidden/>
          </w:rPr>
          <w:t>28</w:t>
        </w:r>
        <w:r w:rsidRPr="00F36DD7">
          <w:rPr>
            <w:noProof/>
            <w:webHidden/>
          </w:rPr>
          <w:fldChar w:fldCharType="end"/>
        </w:r>
      </w:hyperlink>
    </w:p>
    <w:p w14:paraId="170603CF" w14:textId="25CAE8C1"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3" w:history="1">
        <w:r w:rsidRPr="00F36DD7">
          <w:rPr>
            <w:rStyle w:val="Hypertextovprepojenie"/>
            <w:noProof/>
          </w:rPr>
          <w:t>Table 7 Number of EPO patents</w:t>
        </w:r>
        <w:r w:rsidRPr="00F36DD7">
          <w:rPr>
            <w:noProof/>
            <w:webHidden/>
          </w:rPr>
          <w:tab/>
        </w:r>
        <w:r w:rsidRPr="00F36DD7">
          <w:rPr>
            <w:noProof/>
            <w:webHidden/>
          </w:rPr>
          <w:fldChar w:fldCharType="begin"/>
        </w:r>
        <w:r w:rsidRPr="00F36DD7">
          <w:rPr>
            <w:noProof/>
            <w:webHidden/>
          </w:rPr>
          <w:instrText xml:space="preserve"> PAGEREF _Toc202166663 \h </w:instrText>
        </w:r>
        <w:r w:rsidRPr="00F36DD7">
          <w:rPr>
            <w:noProof/>
            <w:webHidden/>
          </w:rPr>
        </w:r>
        <w:r w:rsidRPr="00F36DD7">
          <w:rPr>
            <w:noProof/>
            <w:webHidden/>
          </w:rPr>
          <w:fldChar w:fldCharType="separate"/>
        </w:r>
        <w:r w:rsidRPr="00F36DD7">
          <w:rPr>
            <w:noProof/>
            <w:webHidden/>
          </w:rPr>
          <w:t>28</w:t>
        </w:r>
        <w:r w:rsidRPr="00F36DD7">
          <w:rPr>
            <w:noProof/>
            <w:webHidden/>
          </w:rPr>
          <w:fldChar w:fldCharType="end"/>
        </w:r>
      </w:hyperlink>
    </w:p>
    <w:p w14:paraId="5CCCE82D" w14:textId="3DE67ECE"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4" w:history="1">
        <w:r w:rsidRPr="00F36DD7">
          <w:rPr>
            <w:rStyle w:val="Hypertextovprepojenie"/>
            <w:noProof/>
          </w:rPr>
          <w:t>Table 8 Number of EPO patents</w:t>
        </w:r>
        <w:r w:rsidRPr="00F36DD7">
          <w:rPr>
            <w:noProof/>
            <w:webHidden/>
          </w:rPr>
          <w:tab/>
        </w:r>
        <w:r w:rsidRPr="00F36DD7">
          <w:rPr>
            <w:noProof/>
            <w:webHidden/>
          </w:rPr>
          <w:fldChar w:fldCharType="begin"/>
        </w:r>
        <w:r w:rsidRPr="00F36DD7">
          <w:rPr>
            <w:noProof/>
            <w:webHidden/>
          </w:rPr>
          <w:instrText xml:space="preserve"> PAGEREF _Toc202166664 \h </w:instrText>
        </w:r>
        <w:r w:rsidRPr="00F36DD7">
          <w:rPr>
            <w:noProof/>
            <w:webHidden/>
          </w:rPr>
        </w:r>
        <w:r w:rsidRPr="00F36DD7">
          <w:rPr>
            <w:noProof/>
            <w:webHidden/>
          </w:rPr>
          <w:fldChar w:fldCharType="separate"/>
        </w:r>
        <w:r w:rsidRPr="00F36DD7">
          <w:rPr>
            <w:noProof/>
            <w:webHidden/>
          </w:rPr>
          <w:t>29</w:t>
        </w:r>
        <w:r w:rsidRPr="00F36DD7">
          <w:rPr>
            <w:noProof/>
            <w:webHidden/>
          </w:rPr>
          <w:fldChar w:fldCharType="end"/>
        </w:r>
      </w:hyperlink>
    </w:p>
    <w:p w14:paraId="3BF3E73B" w14:textId="3DB68BC3" w:rsidR="00F36DD7" w:rsidRPr="00F36DD7" w:rsidRDefault="00F36DD7">
      <w:pPr>
        <w:pStyle w:val="Zoznamobrzkov"/>
        <w:tabs>
          <w:tab w:val="right" w:leader="dot" w:pos="9062"/>
        </w:tabs>
        <w:rPr>
          <w:rFonts w:eastAsiaTheme="minorEastAsia"/>
          <w:noProof/>
          <w:kern w:val="2"/>
          <w:sz w:val="24"/>
          <w:szCs w:val="24"/>
          <w:lang w:eastAsia="sk-SK"/>
          <w14:ligatures w14:val="standardContextual"/>
        </w:rPr>
      </w:pPr>
      <w:hyperlink w:anchor="_Toc202166665" w:history="1">
        <w:r w:rsidRPr="00F36DD7">
          <w:rPr>
            <w:rStyle w:val="Hypertextovprepojenie"/>
            <w:noProof/>
          </w:rPr>
          <w:t>Table 9 SWOT Analysis</w:t>
        </w:r>
        <w:r w:rsidRPr="00F36DD7">
          <w:rPr>
            <w:noProof/>
            <w:webHidden/>
          </w:rPr>
          <w:tab/>
        </w:r>
        <w:r w:rsidRPr="00F36DD7">
          <w:rPr>
            <w:noProof/>
            <w:webHidden/>
          </w:rPr>
          <w:fldChar w:fldCharType="begin"/>
        </w:r>
        <w:r w:rsidRPr="00F36DD7">
          <w:rPr>
            <w:noProof/>
            <w:webHidden/>
          </w:rPr>
          <w:instrText xml:space="preserve"> PAGEREF _Toc202166665 \h </w:instrText>
        </w:r>
        <w:r w:rsidRPr="00F36DD7">
          <w:rPr>
            <w:noProof/>
            <w:webHidden/>
          </w:rPr>
        </w:r>
        <w:r w:rsidRPr="00F36DD7">
          <w:rPr>
            <w:noProof/>
            <w:webHidden/>
          </w:rPr>
          <w:fldChar w:fldCharType="separate"/>
        </w:r>
        <w:r w:rsidRPr="00F36DD7">
          <w:rPr>
            <w:noProof/>
            <w:webHidden/>
          </w:rPr>
          <w:t>33</w:t>
        </w:r>
        <w:r w:rsidRPr="00F36DD7">
          <w:rPr>
            <w:noProof/>
            <w:webHidden/>
          </w:rPr>
          <w:fldChar w:fldCharType="end"/>
        </w:r>
      </w:hyperlink>
    </w:p>
    <w:p w14:paraId="3C12607B" w14:textId="16FA96F5" w:rsidR="0092788C" w:rsidRPr="00F36DD7" w:rsidRDefault="00F36DD7">
      <w:r w:rsidRPr="00F36DD7">
        <w:fldChar w:fldCharType="end"/>
      </w:r>
    </w:p>
    <w:p w14:paraId="73E90074" w14:textId="77777777" w:rsidR="0092788C" w:rsidRPr="00F36DD7" w:rsidRDefault="0092788C"/>
    <w:p w14:paraId="7EC8D9E7" w14:textId="77777777" w:rsidR="0092788C" w:rsidRPr="00F36DD7" w:rsidRDefault="0092788C"/>
    <w:p w14:paraId="45CDB40C" w14:textId="77777777" w:rsidR="0092788C" w:rsidRDefault="0092788C">
      <w:pPr>
        <w:rPr>
          <w:b/>
          <w:bCs/>
        </w:rPr>
      </w:pPr>
    </w:p>
    <w:p w14:paraId="16820068" w14:textId="77777777" w:rsidR="0092788C" w:rsidRDefault="0092788C">
      <w:pPr>
        <w:rPr>
          <w:b/>
          <w:bCs/>
        </w:rPr>
      </w:pPr>
    </w:p>
    <w:p w14:paraId="4E92ABA5" w14:textId="77777777" w:rsidR="0092788C" w:rsidRDefault="0092788C">
      <w:pPr>
        <w:rPr>
          <w:b/>
          <w:bCs/>
        </w:rPr>
      </w:pPr>
    </w:p>
    <w:p w14:paraId="1D12916A" w14:textId="77777777" w:rsidR="0092788C" w:rsidRDefault="0092788C">
      <w:pPr>
        <w:rPr>
          <w:b/>
          <w:bCs/>
        </w:rPr>
      </w:pPr>
    </w:p>
    <w:p w14:paraId="6A3C9040" w14:textId="77777777" w:rsidR="0092788C" w:rsidRDefault="0092788C">
      <w:pPr>
        <w:rPr>
          <w:b/>
          <w:bCs/>
        </w:rPr>
      </w:pPr>
    </w:p>
    <w:p w14:paraId="5BBFA8A4" w14:textId="77777777" w:rsidR="0092788C" w:rsidRDefault="0092788C">
      <w:pPr>
        <w:rPr>
          <w:b/>
          <w:bCs/>
        </w:rPr>
      </w:pPr>
    </w:p>
    <w:p w14:paraId="67469174" w14:textId="77777777" w:rsidR="0092788C" w:rsidRDefault="0092788C">
      <w:pPr>
        <w:rPr>
          <w:b/>
          <w:bCs/>
        </w:rPr>
      </w:pPr>
    </w:p>
    <w:p w14:paraId="53E58E81" w14:textId="77777777" w:rsidR="0092788C" w:rsidRDefault="0092788C">
      <w:pPr>
        <w:rPr>
          <w:b/>
          <w:bCs/>
        </w:rPr>
      </w:pPr>
    </w:p>
    <w:p w14:paraId="0A769FC5" w14:textId="77777777" w:rsidR="0092788C" w:rsidRDefault="0092788C">
      <w:pPr>
        <w:rPr>
          <w:b/>
          <w:bCs/>
        </w:rPr>
      </w:pPr>
    </w:p>
    <w:p w14:paraId="29558430" w14:textId="77777777" w:rsidR="0092788C" w:rsidRDefault="0092788C">
      <w:pPr>
        <w:rPr>
          <w:b/>
          <w:bCs/>
        </w:rPr>
      </w:pPr>
    </w:p>
    <w:p w14:paraId="7A417F00" w14:textId="77777777" w:rsidR="0092788C" w:rsidRDefault="0092788C">
      <w:pPr>
        <w:rPr>
          <w:b/>
          <w:bCs/>
        </w:rPr>
      </w:pPr>
    </w:p>
    <w:p w14:paraId="75FD53A2" w14:textId="77777777" w:rsidR="0092788C" w:rsidRDefault="0092788C">
      <w:pPr>
        <w:rPr>
          <w:b/>
          <w:bCs/>
        </w:rPr>
      </w:pPr>
    </w:p>
    <w:p w14:paraId="184AF5A9" w14:textId="77777777" w:rsidR="0092788C" w:rsidRDefault="0092788C">
      <w:pPr>
        <w:rPr>
          <w:b/>
          <w:bCs/>
        </w:rPr>
      </w:pPr>
    </w:p>
    <w:p w14:paraId="51A6674B" w14:textId="77777777" w:rsidR="0092788C" w:rsidRDefault="0092788C">
      <w:pPr>
        <w:rPr>
          <w:b/>
          <w:bCs/>
        </w:rPr>
      </w:pPr>
    </w:p>
    <w:p w14:paraId="58C08B90" w14:textId="77777777" w:rsidR="0092788C" w:rsidRDefault="0092788C">
      <w:pPr>
        <w:rPr>
          <w:b/>
          <w:bCs/>
        </w:rPr>
      </w:pPr>
    </w:p>
    <w:p w14:paraId="1FC5AB0C" w14:textId="77777777" w:rsidR="0092788C" w:rsidRDefault="0092788C">
      <w:pPr>
        <w:rPr>
          <w:b/>
          <w:bCs/>
        </w:rPr>
      </w:pPr>
    </w:p>
    <w:p w14:paraId="0E0ABA6A" w14:textId="77777777" w:rsidR="0092788C" w:rsidRDefault="0092788C">
      <w:pPr>
        <w:rPr>
          <w:b/>
          <w:bCs/>
        </w:rPr>
      </w:pPr>
    </w:p>
    <w:p w14:paraId="6D7E9D0A" w14:textId="77777777" w:rsidR="0092788C" w:rsidRDefault="0092788C">
      <w:pPr>
        <w:rPr>
          <w:b/>
          <w:bCs/>
        </w:rPr>
      </w:pPr>
    </w:p>
    <w:p w14:paraId="2A4A1AC0" w14:textId="77777777" w:rsidR="0092788C" w:rsidRDefault="0092788C">
      <w:pPr>
        <w:rPr>
          <w:b/>
          <w:bCs/>
        </w:rPr>
      </w:pPr>
    </w:p>
    <w:p w14:paraId="755989BE" w14:textId="77777777" w:rsidR="0092788C" w:rsidRDefault="0092788C">
      <w:pPr>
        <w:rPr>
          <w:b/>
          <w:bCs/>
        </w:rPr>
      </w:pPr>
    </w:p>
    <w:p w14:paraId="128BAB7B" w14:textId="77777777" w:rsidR="0092788C" w:rsidRDefault="0092788C">
      <w:pPr>
        <w:rPr>
          <w:b/>
          <w:bCs/>
        </w:rPr>
      </w:pPr>
    </w:p>
    <w:p w14:paraId="668661F0" w14:textId="77777777" w:rsidR="0092788C" w:rsidRPr="006A60D5" w:rsidRDefault="0092788C" w:rsidP="0092788C">
      <w:pPr>
        <w:pStyle w:val="Nadpis1"/>
        <w:rPr>
          <w:b/>
          <w:bCs/>
          <w:lang w:val="en-GB"/>
        </w:rPr>
      </w:pPr>
      <w:bookmarkStart w:id="2" w:name="_Toc27103650"/>
      <w:bookmarkStart w:id="3" w:name="_Toc107413803"/>
      <w:bookmarkStart w:id="4" w:name="_Toc202166679"/>
      <w:r w:rsidRPr="006A60D5">
        <w:rPr>
          <w:b/>
          <w:bCs/>
          <w:lang w:val="en-GB"/>
        </w:rPr>
        <w:lastRenderedPageBreak/>
        <w:t>Acronyms</w:t>
      </w:r>
      <w:bookmarkEnd w:id="2"/>
      <w:bookmarkEnd w:id="3"/>
      <w:bookmarkEnd w:id="4"/>
    </w:p>
    <w:tbl>
      <w:tblPr>
        <w:tblStyle w:val="Mriekatabuky"/>
        <w:tblW w:w="0" w:type="auto"/>
        <w:tblLook w:val="04A0" w:firstRow="1" w:lastRow="0" w:firstColumn="1" w:lastColumn="0" w:noHBand="0" w:noVBand="1"/>
      </w:tblPr>
      <w:tblGrid>
        <w:gridCol w:w="4506"/>
        <w:gridCol w:w="4510"/>
      </w:tblGrid>
      <w:tr w:rsidR="0092788C" w:rsidRPr="002E7249" w14:paraId="6EF83FF8" w14:textId="77777777" w:rsidTr="005C6A15">
        <w:tc>
          <w:tcPr>
            <w:tcW w:w="4506" w:type="dxa"/>
          </w:tcPr>
          <w:p w14:paraId="4C681E10" w14:textId="77777777" w:rsidR="0092788C" w:rsidRPr="002E7249" w:rsidRDefault="0092788C" w:rsidP="005C6A15">
            <w:pPr>
              <w:rPr>
                <w:lang w:val="en-GB"/>
              </w:rPr>
            </w:pPr>
            <w:r w:rsidRPr="002E7249">
              <w:rPr>
                <w:lang w:val="en-GB"/>
              </w:rPr>
              <w:t>Acronyms – Danube region countries and regions</w:t>
            </w:r>
          </w:p>
        </w:tc>
        <w:tc>
          <w:tcPr>
            <w:tcW w:w="4510" w:type="dxa"/>
          </w:tcPr>
          <w:p w14:paraId="5156188A" w14:textId="77777777" w:rsidR="0092788C" w:rsidRPr="002E7249" w:rsidRDefault="0092788C" w:rsidP="005C6A15">
            <w:pPr>
              <w:rPr>
                <w:lang w:val="en-GB"/>
              </w:rPr>
            </w:pPr>
            <w:r w:rsidRPr="002E7249">
              <w:rPr>
                <w:lang w:val="en-GB"/>
              </w:rPr>
              <w:t xml:space="preserve">AT – Austria; BA – Bosnia and Herzegovina; BG – Bulgaria; CZ – Czechia; DE – Germany; HR – Croatia; HU – Hungary; MD – Moldova; ME – Montenegro; RO – </w:t>
            </w:r>
            <w:proofErr w:type="gramStart"/>
            <w:r w:rsidRPr="002E7249">
              <w:rPr>
                <w:lang w:val="en-GB"/>
              </w:rPr>
              <w:t>Romania;  RS</w:t>
            </w:r>
            <w:proofErr w:type="gramEnd"/>
            <w:r w:rsidRPr="002E7249">
              <w:rPr>
                <w:lang w:val="en-GB"/>
              </w:rPr>
              <w:t xml:space="preserve"> – Serbia; SI – Slovenia; SK – Slovakia; UA – Ukraine; BAV – Bavaria; BW - Baden-Württemberg</w:t>
            </w:r>
          </w:p>
        </w:tc>
      </w:tr>
      <w:tr w:rsidR="0092788C" w:rsidRPr="002E7249" w14:paraId="5941C334" w14:textId="77777777" w:rsidTr="005C6A15">
        <w:tc>
          <w:tcPr>
            <w:tcW w:w="4506" w:type="dxa"/>
          </w:tcPr>
          <w:p w14:paraId="44BB0521" w14:textId="77777777" w:rsidR="0092788C" w:rsidRPr="002E7249" w:rsidRDefault="0092788C" w:rsidP="005C6A15">
            <w:pPr>
              <w:rPr>
                <w:lang w:val="en-GB"/>
              </w:rPr>
            </w:pPr>
            <w:r w:rsidRPr="002E7249">
              <w:rPr>
                <w:lang w:val="en-GB"/>
              </w:rPr>
              <w:t>Acronyms – other countries</w:t>
            </w:r>
          </w:p>
        </w:tc>
        <w:tc>
          <w:tcPr>
            <w:tcW w:w="4510" w:type="dxa"/>
          </w:tcPr>
          <w:p w14:paraId="55C09C87" w14:textId="77777777" w:rsidR="0092788C" w:rsidRPr="002E7249" w:rsidRDefault="0092788C" w:rsidP="005C6A15">
            <w:pPr>
              <w:rPr>
                <w:lang w:val="en-GB"/>
              </w:rPr>
            </w:pPr>
            <w:r w:rsidRPr="002E7249">
              <w:rPr>
                <w:lang w:val="en-GB"/>
              </w:rPr>
              <w:t>BE – Belgium; CY – Cyprus; DK – Denmark; EE – Estonia; EL – Greece; ES – Spain; FI – Finland; FR – France; CH – Switzerland; IE – Ireland; IL – Israel; IS – Iceland; IT  - Italy; LT – Latvia; LU – Luxembourg; LV – Lithuania; MT – Malta, NL – Netherland; NO – Norway; PL – Poland; PT – Portugal; SE – Sweden; TR – Turkey; UK – United Kingdom</w:t>
            </w:r>
          </w:p>
        </w:tc>
      </w:tr>
      <w:tr w:rsidR="0092788C" w:rsidRPr="002E7249" w14:paraId="6BAA464C" w14:textId="77777777" w:rsidTr="005C6A15">
        <w:tc>
          <w:tcPr>
            <w:tcW w:w="4506" w:type="dxa"/>
            <w:vAlign w:val="bottom"/>
          </w:tcPr>
          <w:p w14:paraId="4AEA8BC4" w14:textId="77777777" w:rsidR="0092788C" w:rsidRPr="002E7249" w:rsidRDefault="0092788C" w:rsidP="005C6A15">
            <w:pPr>
              <w:rPr>
                <w:lang w:val="en-GB"/>
              </w:rPr>
            </w:pPr>
            <w:r w:rsidRPr="002E7249">
              <w:rPr>
                <w:lang w:val="en-GB"/>
              </w:rPr>
              <w:t>ERC</w:t>
            </w:r>
          </w:p>
        </w:tc>
        <w:tc>
          <w:tcPr>
            <w:tcW w:w="4510" w:type="dxa"/>
          </w:tcPr>
          <w:p w14:paraId="2300AAEF" w14:textId="77777777" w:rsidR="0092788C" w:rsidRPr="002E7249" w:rsidRDefault="0092788C" w:rsidP="005C6A15">
            <w:pPr>
              <w:rPr>
                <w:lang w:val="en-GB"/>
              </w:rPr>
            </w:pPr>
            <w:r w:rsidRPr="002E7249">
              <w:rPr>
                <w:lang w:val="en-GB"/>
              </w:rPr>
              <w:t xml:space="preserve">European Research </w:t>
            </w:r>
            <w:proofErr w:type="spellStart"/>
            <w:r w:rsidRPr="002E7249">
              <w:rPr>
                <w:lang w:val="en-GB"/>
              </w:rPr>
              <w:t>Concil</w:t>
            </w:r>
            <w:proofErr w:type="spellEnd"/>
          </w:p>
        </w:tc>
      </w:tr>
      <w:tr w:rsidR="0092788C" w:rsidRPr="002E7249" w14:paraId="04E982ED" w14:textId="77777777" w:rsidTr="005C6A15">
        <w:tc>
          <w:tcPr>
            <w:tcW w:w="4506" w:type="dxa"/>
            <w:vAlign w:val="bottom"/>
          </w:tcPr>
          <w:p w14:paraId="7E57C9A4" w14:textId="77777777" w:rsidR="0092788C" w:rsidRPr="002E7249" w:rsidRDefault="0092788C" w:rsidP="005C6A15">
            <w:pPr>
              <w:rPr>
                <w:lang w:val="en-GB"/>
              </w:rPr>
            </w:pPr>
            <w:r w:rsidRPr="002E7249">
              <w:rPr>
                <w:lang w:val="en-GB"/>
              </w:rPr>
              <w:t>MSCA</w:t>
            </w:r>
          </w:p>
        </w:tc>
        <w:tc>
          <w:tcPr>
            <w:tcW w:w="4510" w:type="dxa"/>
          </w:tcPr>
          <w:p w14:paraId="08DF987C" w14:textId="77777777" w:rsidR="0092788C" w:rsidRPr="002E7249" w:rsidRDefault="0092788C" w:rsidP="005C6A15">
            <w:pPr>
              <w:rPr>
                <w:lang w:val="en-GB"/>
              </w:rPr>
            </w:pPr>
            <w:r w:rsidRPr="002E7249">
              <w:rPr>
                <w:lang w:val="en-GB"/>
              </w:rPr>
              <w:t xml:space="preserve">Marie </w:t>
            </w:r>
            <w:proofErr w:type="spellStart"/>
            <w:r w:rsidRPr="002E7249">
              <w:rPr>
                <w:lang w:val="en-GB"/>
              </w:rPr>
              <w:t>Skłodowska</w:t>
            </w:r>
            <w:proofErr w:type="spellEnd"/>
            <w:r w:rsidRPr="002E7249">
              <w:rPr>
                <w:lang w:val="en-GB"/>
              </w:rPr>
              <w:t>-Curie Actions</w:t>
            </w:r>
          </w:p>
        </w:tc>
      </w:tr>
      <w:tr w:rsidR="0092788C" w:rsidRPr="002E7249" w14:paraId="7B2174B4" w14:textId="77777777" w:rsidTr="005C6A15">
        <w:tc>
          <w:tcPr>
            <w:tcW w:w="4506" w:type="dxa"/>
          </w:tcPr>
          <w:p w14:paraId="0D506237" w14:textId="77777777" w:rsidR="0092788C" w:rsidRPr="002E7249" w:rsidRDefault="0092788C" w:rsidP="005C6A15">
            <w:pPr>
              <w:rPr>
                <w:lang w:val="en-GB"/>
              </w:rPr>
            </w:pPr>
            <w:r w:rsidRPr="002E7249">
              <w:rPr>
                <w:lang w:val="en-GB"/>
              </w:rPr>
              <w:t>SME</w:t>
            </w:r>
          </w:p>
        </w:tc>
        <w:tc>
          <w:tcPr>
            <w:tcW w:w="4510" w:type="dxa"/>
          </w:tcPr>
          <w:p w14:paraId="5FD4A096" w14:textId="77777777" w:rsidR="0092788C" w:rsidRPr="002E7249" w:rsidRDefault="0092788C" w:rsidP="005C6A15">
            <w:pPr>
              <w:rPr>
                <w:lang w:val="en-GB"/>
              </w:rPr>
            </w:pPr>
            <w:r w:rsidRPr="002E7249">
              <w:rPr>
                <w:lang w:val="en-GB"/>
              </w:rPr>
              <w:t>Small and medium-sized enterprise</w:t>
            </w:r>
          </w:p>
        </w:tc>
      </w:tr>
    </w:tbl>
    <w:p w14:paraId="4D8711E7" w14:textId="77777777" w:rsidR="0092788C" w:rsidRPr="002E7249" w:rsidRDefault="0092788C" w:rsidP="0092788C">
      <w:pPr>
        <w:rPr>
          <w:lang w:val="en-GB"/>
        </w:rPr>
      </w:pPr>
    </w:p>
    <w:p w14:paraId="6E0D4EDD" w14:textId="77777777" w:rsidR="0092788C" w:rsidRDefault="0092788C">
      <w:pPr>
        <w:rPr>
          <w:b/>
          <w:bCs/>
        </w:rPr>
      </w:pPr>
    </w:p>
    <w:p w14:paraId="3CB0D273" w14:textId="77777777" w:rsidR="0092788C" w:rsidRDefault="0092788C">
      <w:pPr>
        <w:rPr>
          <w:b/>
          <w:bCs/>
        </w:rPr>
      </w:pPr>
    </w:p>
    <w:p w14:paraId="3D401EF4" w14:textId="77777777" w:rsidR="004B6B58" w:rsidRDefault="004B6B58">
      <w:pPr>
        <w:rPr>
          <w:b/>
          <w:bCs/>
        </w:rPr>
      </w:pPr>
    </w:p>
    <w:p w14:paraId="1E5B323E" w14:textId="77777777" w:rsidR="004B6B58" w:rsidRDefault="004B6B58">
      <w:pPr>
        <w:rPr>
          <w:b/>
          <w:bCs/>
        </w:rPr>
      </w:pPr>
    </w:p>
    <w:p w14:paraId="2E05D0E1" w14:textId="77777777" w:rsidR="004B6B58" w:rsidRDefault="004B6B58">
      <w:pPr>
        <w:rPr>
          <w:b/>
          <w:bCs/>
        </w:rPr>
      </w:pPr>
    </w:p>
    <w:p w14:paraId="7FE25162" w14:textId="77777777" w:rsidR="004B6B58" w:rsidRDefault="004B6B58">
      <w:pPr>
        <w:rPr>
          <w:b/>
          <w:bCs/>
        </w:rPr>
      </w:pPr>
    </w:p>
    <w:p w14:paraId="7FF1C2B7" w14:textId="77777777" w:rsidR="004B6B58" w:rsidRDefault="004B6B58">
      <w:pPr>
        <w:rPr>
          <w:b/>
          <w:bCs/>
        </w:rPr>
      </w:pPr>
    </w:p>
    <w:p w14:paraId="261ACE38" w14:textId="77777777" w:rsidR="004B6B58" w:rsidRDefault="004B6B58">
      <w:pPr>
        <w:rPr>
          <w:b/>
          <w:bCs/>
        </w:rPr>
      </w:pPr>
    </w:p>
    <w:p w14:paraId="7E1BB805" w14:textId="77777777" w:rsidR="004B6B58" w:rsidRDefault="004B6B58">
      <w:pPr>
        <w:rPr>
          <w:b/>
          <w:bCs/>
        </w:rPr>
      </w:pPr>
    </w:p>
    <w:p w14:paraId="3E0AB3D6" w14:textId="77777777" w:rsidR="004B6B58" w:rsidRDefault="004B6B58">
      <w:pPr>
        <w:rPr>
          <w:b/>
          <w:bCs/>
        </w:rPr>
      </w:pPr>
    </w:p>
    <w:p w14:paraId="4F9927A7" w14:textId="77777777" w:rsidR="004B6B58" w:rsidRDefault="004B6B58">
      <w:pPr>
        <w:rPr>
          <w:b/>
          <w:bCs/>
        </w:rPr>
      </w:pPr>
    </w:p>
    <w:p w14:paraId="42721D49" w14:textId="77777777" w:rsidR="004B6B58" w:rsidRDefault="004B6B58">
      <w:pPr>
        <w:rPr>
          <w:b/>
          <w:bCs/>
        </w:rPr>
      </w:pPr>
    </w:p>
    <w:p w14:paraId="07DF6C0E" w14:textId="77777777" w:rsidR="004B6B58" w:rsidRDefault="004B6B58">
      <w:pPr>
        <w:rPr>
          <w:b/>
          <w:bCs/>
        </w:rPr>
      </w:pPr>
    </w:p>
    <w:p w14:paraId="58709CC8" w14:textId="77777777" w:rsidR="004B6B58" w:rsidRDefault="004B6B58">
      <w:pPr>
        <w:rPr>
          <w:b/>
          <w:bCs/>
        </w:rPr>
      </w:pPr>
    </w:p>
    <w:p w14:paraId="50789161" w14:textId="77777777" w:rsidR="004B6B58" w:rsidRDefault="004B6B58">
      <w:pPr>
        <w:rPr>
          <w:b/>
          <w:bCs/>
        </w:rPr>
      </w:pPr>
    </w:p>
    <w:p w14:paraId="67DE44BE" w14:textId="77777777" w:rsidR="004B6B58" w:rsidRDefault="004B6B58">
      <w:pPr>
        <w:rPr>
          <w:b/>
          <w:bCs/>
        </w:rPr>
      </w:pPr>
    </w:p>
    <w:p w14:paraId="005B7833" w14:textId="77777777" w:rsidR="004B6B58" w:rsidRDefault="004B6B58">
      <w:pPr>
        <w:rPr>
          <w:b/>
          <w:bCs/>
        </w:rPr>
      </w:pPr>
    </w:p>
    <w:p w14:paraId="3986101F" w14:textId="77777777" w:rsidR="004B6B58" w:rsidRDefault="004B6B58">
      <w:pPr>
        <w:rPr>
          <w:b/>
          <w:bCs/>
        </w:rPr>
      </w:pPr>
    </w:p>
    <w:p w14:paraId="4DF2F13B" w14:textId="1AF9FC65" w:rsidR="004B6B58" w:rsidRDefault="004B6B58" w:rsidP="004B6B58">
      <w:pPr>
        <w:pStyle w:val="Nadpis1"/>
        <w:numPr>
          <w:ilvl w:val="0"/>
          <w:numId w:val="1"/>
        </w:numPr>
        <w:rPr>
          <w:b/>
          <w:bCs/>
        </w:rPr>
      </w:pPr>
      <w:bookmarkStart w:id="5" w:name="_Toc202166680"/>
      <w:proofErr w:type="spellStart"/>
      <w:r w:rsidRPr="004B6B58">
        <w:rPr>
          <w:b/>
          <w:bCs/>
        </w:rPr>
        <w:lastRenderedPageBreak/>
        <w:t>Introduction</w:t>
      </w:r>
      <w:bookmarkEnd w:id="5"/>
      <w:proofErr w:type="spellEnd"/>
    </w:p>
    <w:p w14:paraId="750C0F89" w14:textId="40E036E8" w:rsidR="005B0533" w:rsidRPr="005B0533" w:rsidRDefault="005B0533" w:rsidP="00815471">
      <w:pPr>
        <w:spacing w:line="276" w:lineRule="auto"/>
        <w:jc w:val="both"/>
        <w:rPr>
          <w:lang w:val="en-GB"/>
        </w:rPr>
      </w:pPr>
      <w:r w:rsidRPr="005B0533">
        <w:rPr>
          <w:lang w:val="en-GB"/>
        </w:rPr>
        <w:t xml:space="preserve">This </w:t>
      </w:r>
      <w:r w:rsidR="00D26290">
        <w:rPr>
          <w:lang w:val="en-GB"/>
        </w:rPr>
        <w:t>analysis</w:t>
      </w:r>
      <w:r w:rsidRPr="005B0533">
        <w:rPr>
          <w:lang w:val="en-GB"/>
        </w:rPr>
        <w:t xml:space="preserve"> constitutes the third edition of the evaluation of the state of the knowledge society in the Danube Region. While the first assessment covered the period 2010–2018 and the second extended to 2020, the current edition encompasses developments up to 2024. It builds upon the previous analyses by incorporating progress achieved over the past four years and by offering new insights into the evolution of the knowledge society across the region.</w:t>
      </w:r>
    </w:p>
    <w:p w14:paraId="6ABCE04C" w14:textId="77777777" w:rsidR="005B0533" w:rsidRPr="005B0533" w:rsidRDefault="005B0533" w:rsidP="00815471">
      <w:pPr>
        <w:spacing w:line="276" w:lineRule="auto"/>
        <w:jc w:val="both"/>
        <w:rPr>
          <w:lang w:val="en-GB"/>
        </w:rPr>
      </w:pPr>
      <w:r w:rsidRPr="005B0533">
        <w:rPr>
          <w:lang w:val="en-GB"/>
        </w:rPr>
        <w:t>The primary objective of this analysis is to provide an up-to-date overview of the status and progress made in the field of knowledge society development in the Danube countries. The analysis focuses on </w:t>
      </w:r>
      <w:r w:rsidRPr="005B0533">
        <w:rPr>
          <w:b/>
          <w:bCs/>
          <w:lang w:val="en-GB"/>
        </w:rPr>
        <w:t>Priority Area 7 – Knowledge Society</w:t>
      </w:r>
      <w:r w:rsidRPr="005B0533">
        <w:rPr>
          <w:lang w:val="en-GB"/>
        </w:rPr>
        <w:t>, which includes research, education, and information and communication technologies (ICT), and is jointly coordinated by Slovakia and Serbia.</w:t>
      </w:r>
    </w:p>
    <w:p w14:paraId="6AF5A23E" w14:textId="77777777" w:rsidR="005B0533" w:rsidRPr="005B0533" w:rsidRDefault="005B0533" w:rsidP="00815471">
      <w:pPr>
        <w:spacing w:line="276" w:lineRule="auto"/>
        <w:jc w:val="both"/>
        <w:rPr>
          <w:lang w:val="en-GB"/>
        </w:rPr>
      </w:pPr>
      <w:r w:rsidRPr="005B0533">
        <w:rPr>
          <w:lang w:val="en-GB"/>
        </w:rPr>
        <w:t>The structure of the analysis is composed of three main parts:</w:t>
      </w:r>
    </w:p>
    <w:p w14:paraId="6C5E0E2C" w14:textId="77777777" w:rsidR="005B0533" w:rsidRPr="005B0533" w:rsidRDefault="005B0533" w:rsidP="00815471">
      <w:pPr>
        <w:numPr>
          <w:ilvl w:val="0"/>
          <w:numId w:val="17"/>
        </w:numPr>
        <w:spacing w:line="276" w:lineRule="auto"/>
        <w:jc w:val="both"/>
        <w:rPr>
          <w:lang w:val="en-GB"/>
        </w:rPr>
      </w:pPr>
      <w:r w:rsidRPr="005B0533">
        <w:rPr>
          <w:b/>
          <w:bCs/>
          <w:lang w:val="en-GB"/>
        </w:rPr>
        <w:t>Assessment of the Knowledge Society in the Danube Region</w:t>
      </w:r>
      <w:r w:rsidRPr="005B0533">
        <w:rPr>
          <w:lang w:val="en-GB"/>
        </w:rPr>
        <w:br/>
        <w:t>This section provides a comprehensive evaluation of the current state of the knowledge-based economy in the region. It applies both quantitative and qualitative methodologies to assess the progress made by individual countries compared to previous years. This key chapter is structured around five thematic areas:</w:t>
      </w:r>
    </w:p>
    <w:p w14:paraId="6F528C51" w14:textId="77777777" w:rsidR="005B0533" w:rsidRPr="005B0533" w:rsidRDefault="005B0533" w:rsidP="00815471">
      <w:pPr>
        <w:numPr>
          <w:ilvl w:val="1"/>
          <w:numId w:val="17"/>
        </w:numPr>
        <w:spacing w:line="276" w:lineRule="auto"/>
        <w:jc w:val="both"/>
        <w:rPr>
          <w:lang w:val="en-GB"/>
        </w:rPr>
      </w:pPr>
      <w:r w:rsidRPr="005B0533">
        <w:rPr>
          <w:lang w:val="en-GB"/>
        </w:rPr>
        <w:t>Investments in research and innovation</w:t>
      </w:r>
    </w:p>
    <w:p w14:paraId="4CDDF3A4" w14:textId="77777777" w:rsidR="005B0533" w:rsidRPr="005B0533" w:rsidRDefault="005B0533" w:rsidP="00815471">
      <w:pPr>
        <w:numPr>
          <w:ilvl w:val="1"/>
          <w:numId w:val="17"/>
        </w:numPr>
        <w:spacing w:line="276" w:lineRule="auto"/>
        <w:jc w:val="both"/>
        <w:rPr>
          <w:lang w:val="en-GB"/>
        </w:rPr>
      </w:pPr>
      <w:r w:rsidRPr="005B0533">
        <w:rPr>
          <w:lang w:val="en-GB"/>
        </w:rPr>
        <w:t>Investments in talent and human resources</w:t>
      </w:r>
    </w:p>
    <w:p w14:paraId="79D8A9ED" w14:textId="224B217D" w:rsidR="005B0533" w:rsidRPr="005B0533" w:rsidRDefault="006F3BC4" w:rsidP="00815471">
      <w:pPr>
        <w:numPr>
          <w:ilvl w:val="1"/>
          <w:numId w:val="17"/>
        </w:numPr>
        <w:spacing w:line="276" w:lineRule="auto"/>
        <w:jc w:val="both"/>
        <w:rPr>
          <w:lang w:val="en-GB"/>
        </w:rPr>
      </w:pPr>
      <w:r>
        <w:rPr>
          <w:lang w:val="en-GB"/>
        </w:rPr>
        <w:t>A</w:t>
      </w:r>
      <w:r w:rsidR="005B0533" w:rsidRPr="005B0533">
        <w:rPr>
          <w:lang w:val="en-GB"/>
        </w:rPr>
        <w:t>ctivities (cooperation among stakeholders and mobility)</w:t>
      </w:r>
    </w:p>
    <w:p w14:paraId="07FBD0A7" w14:textId="1A1B906E" w:rsidR="005B0533" w:rsidRPr="005B0533" w:rsidRDefault="005B0533" w:rsidP="00815471">
      <w:pPr>
        <w:numPr>
          <w:ilvl w:val="1"/>
          <w:numId w:val="17"/>
        </w:numPr>
        <w:spacing w:line="276" w:lineRule="auto"/>
        <w:jc w:val="both"/>
        <w:rPr>
          <w:lang w:val="en-GB"/>
        </w:rPr>
      </w:pPr>
      <w:r w:rsidRPr="005B0533">
        <w:rPr>
          <w:lang w:val="en-GB"/>
        </w:rPr>
        <w:t xml:space="preserve">Outputs </w:t>
      </w:r>
      <w:r w:rsidR="00D85AE8">
        <w:rPr>
          <w:lang w:val="en-GB"/>
        </w:rPr>
        <w:t>from</w:t>
      </w:r>
      <w:r w:rsidRPr="005B0533">
        <w:rPr>
          <w:lang w:val="en-GB"/>
        </w:rPr>
        <w:t xml:space="preserve"> research and innovation activities</w:t>
      </w:r>
    </w:p>
    <w:p w14:paraId="62804B57" w14:textId="6F8F64AB" w:rsidR="005B0533" w:rsidRPr="005B0533" w:rsidRDefault="005B0533" w:rsidP="00815471">
      <w:pPr>
        <w:numPr>
          <w:ilvl w:val="1"/>
          <w:numId w:val="17"/>
        </w:numPr>
        <w:spacing w:line="276" w:lineRule="auto"/>
        <w:jc w:val="both"/>
        <w:rPr>
          <w:lang w:val="en-GB"/>
        </w:rPr>
      </w:pPr>
      <w:r w:rsidRPr="005B0533">
        <w:rPr>
          <w:lang w:val="en-GB"/>
        </w:rPr>
        <w:t xml:space="preserve">Short-term and long-term </w:t>
      </w:r>
      <w:r w:rsidR="00D85AE8">
        <w:rPr>
          <w:lang w:val="en-GB"/>
        </w:rPr>
        <w:t>effects</w:t>
      </w:r>
    </w:p>
    <w:p w14:paraId="6ED73D0B" w14:textId="77777777" w:rsidR="005B0533" w:rsidRPr="005B0533" w:rsidRDefault="005B0533" w:rsidP="00815471">
      <w:pPr>
        <w:numPr>
          <w:ilvl w:val="0"/>
          <w:numId w:val="17"/>
        </w:numPr>
        <w:spacing w:line="276" w:lineRule="auto"/>
        <w:jc w:val="both"/>
        <w:rPr>
          <w:lang w:val="en-GB"/>
        </w:rPr>
      </w:pPr>
      <w:r w:rsidRPr="005B0533">
        <w:rPr>
          <w:b/>
          <w:bCs/>
          <w:lang w:val="en-GB"/>
        </w:rPr>
        <w:t>Evaluation of Current Best Practices and SWOT Analysis of Priority Area 7</w:t>
      </w:r>
      <w:r w:rsidRPr="005B0533">
        <w:rPr>
          <w:lang w:val="en-GB"/>
        </w:rPr>
        <w:br/>
        <w:t>This section summarises the key findings from the analytical part and presents a structured assessment of strengths, weaknesses, opportunities, and threats (SWOT) relevant to the implementation of Priority Area 7.</w:t>
      </w:r>
    </w:p>
    <w:p w14:paraId="524DB32D" w14:textId="77777777" w:rsidR="005B0533" w:rsidRPr="005B0533" w:rsidRDefault="005B0533" w:rsidP="00815471">
      <w:pPr>
        <w:numPr>
          <w:ilvl w:val="0"/>
          <w:numId w:val="17"/>
        </w:numPr>
        <w:spacing w:line="276" w:lineRule="auto"/>
        <w:jc w:val="both"/>
        <w:rPr>
          <w:lang w:val="en-GB"/>
        </w:rPr>
      </w:pPr>
      <w:r w:rsidRPr="005B0533">
        <w:rPr>
          <w:b/>
          <w:bCs/>
          <w:lang w:val="en-GB"/>
        </w:rPr>
        <w:t>Recommendations for Improving the Current Situation</w:t>
      </w:r>
      <w:r w:rsidRPr="005B0533">
        <w:rPr>
          <w:lang w:val="en-GB"/>
        </w:rPr>
        <w:br/>
        <w:t>The final section outlines a set of policy recommendations aimed at enhancing cooperation among countries in the Danube Region and strengthening the overall performance of the knowledge society.</w:t>
      </w:r>
    </w:p>
    <w:p w14:paraId="09DF99A5" w14:textId="77777777" w:rsidR="005B0533" w:rsidRPr="005B0533" w:rsidRDefault="005B0533" w:rsidP="00815471">
      <w:pPr>
        <w:spacing w:line="276" w:lineRule="auto"/>
        <w:jc w:val="both"/>
        <w:rPr>
          <w:lang w:val="en-GB"/>
        </w:rPr>
      </w:pPr>
      <w:r w:rsidRPr="005B0533">
        <w:rPr>
          <w:lang w:val="en-GB"/>
        </w:rPr>
        <w:t>This evaluation was commissioned by the </w:t>
      </w:r>
      <w:r w:rsidRPr="005B0533">
        <w:rPr>
          <w:b/>
          <w:bCs/>
          <w:lang w:val="en-GB"/>
        </w:rPr>
        <w:t>Ministry of Education, Science, Research and Sport of the Slovak Republic</w:t>
      </w:r>
      <w:r w:rsidRPr="005B0533">
        <w:rPr>
          <w:lang w:val="en-GB"/>
        </w:rPr>
        <w:t> and implemented by the </w:t>
      </w:r>
      <w:r w:rsidRPr="005B0533">
        <w:rPr>
          <w:b/>
          <w:bCs/>
          <w:lang w:val="en-GB"/>
        </w:rPr>
        <w:t>Slovak Centre of Scientific and Technical Information</w:t>
      </w:r>
      <w:r w:rsidRPr="005B0533">
        <w:rPr>
          <w:lang w:val="en-GB"/>
        </w:rPr>
        <w:t>.</w:t>
      </w:r>
    </w:p>
    <w:p w14:paraId="1E46726F" w14:textId="77777777" w:rsidR="00F872A6" w:rsidRPr="003E7700" w:rsidRDefault="00F872A6" w:rsidP="003E7700">
      <w:pPr>
        <w:jc w:val="both"/>
        <w:rPr>
          <w:lang w:val="en-GB"/>
        </w:rPr>
      </w:pPr>
    </w:p>
    <w:p w14:paraId="325851E4" w14:textId="77777777" w:rsidR="000B59F4" w:rsidRPr="003E7700" w:rsidRDefault="000B59F4" w:rsidP="003E7700">
      <w:pPr>
        <w:jc w:val="both"/>
        <w:rPr>
          <w:lang w:val="en-GB"/>
        </w:rPr>
      </w:pPr>
    </w:p>
    <w:p w14:paraId="73BF2BB0" w14:textId="77777777" w:rsidR="00CF4F36" w:rsidRPr="003E7700" w:rsidRDefault="00CF4F36" w:rsidP="003E7700">
      <w:pPr>
        <w:jc w:val="both"/>
        <w:rPr>
          <w:lang w:val="en-GB"/>
        </w:rPr>
      </w:pPr>
    </w:p>
    <w:p w14:paraId="39E258EC" w14:textId="5EDE8461" w:rsidR="00CF4F36" w:rsidRPr="00655158" w:rsidRDefault="00CF4F36" w:rsidP="00655158">
      <w:pPr>
        <w:pStyle w:val="Nadpis1"/>
        <w:numPr>
          <w:ilvl w:val="0"/>
          <w:numId w:val="1"/>
        </w:numPr>
        <w:rPr>
          <w:b/>
          <w:bCs/>
        </w:rPr>
      </w:pPr>
      <w:bookmarkStart w:id="6" w:name="_Toc27103652"/>
      <w:bookmarkStart w:id="7" w:name="_Toc107413805"/>
      <w:bookmarkStart w:id="8" w:name="_Toc202166681"/>
      <w:r w:rsidRPr="00655158">
        <w:rPr>
          <w:b/>
          <w:bCs/>
        </w:rPr>
        <w:lastRenderedPageBreak/>
        <w:t>Methodology</w:t>
      </w:r>
      <w:bookmarkEnd w:id="6"/>
      <w:bookmarkEnd w:id="7"/>
      <w:bookmarkEnd w:id="8"/>
    </w:p>
    <w:p w14:paraId="3B7A2D67" w14:textId="77777777" w:rsidR="00CF4F36" w:rsidRPr="003E7700" w:rsidRDefault="00CF4F36" w:rsidP="00815471">
      <w:pPr>
        <w:spacing w:after="120" w:line="276" w:lineRule="auto"/>
        <w:jc w:val="both"/>
        <w:rPr>
          <w:lang w:val="en-GB"/>
        </w:rPr>
      </w:pPr>
    </w:p>
    <w:p w14:paraId="12CCEA8A" w14:textId="77777777" w:rsidR="00725886" w:rsidRPr="00725886" w:rsidRDefault="00725886" w:rsidP="00815471">
      <w:pPr>
        <w:spacing w:line="276" w:lineRule="auto"/>
        <w:jc w:val="both"/>
        <w:rPr>
          <w:lang w:val="en-GB"/>
        </w:rPr>
      </w:pPr>
      <w:r w:rsidRPr="00725886">
        <w:rPr>
          <w:lang w:val="en-GB"/>
        </w:rPr>
        <w:t>This analysis primarily focuses on assessing the state of the knowledge society in the countries of the Danube Region. Particular attention is devoted to the domains of research and innovation, as well as to other areas that significantly contribute to the development of a knowledge-based society. Where data availability permits, the analysis covers the period from 2010 to 2024. In cases where full time-series data are not available, reference years include 2014, 2017, 2019, and 2023 (or 2024, where applicable).</w:t>
      </w:r>
    </w:p>
    <w:p w14:paraId="5A4E7D02" w14:textId="77777777" w:rsidR="00725886" w:rsidRPr="00725886" w:rsidRDefault="00725886" w:rsidP="00815471">
      <w:pPr>
        <w:spacing w:line="276" w:lineRule="auto"/>
        <w:jc w:val="both"/>
        <w:rPr>
          <w:lang w:val="en-GB"/>
        </w:rPr>
      </w:pPr>
      <w:r w:rsidRPr="00725886">
        <w:rPr>
          <w:lang w:val="en-GB"/>
        </w:rPr>
        <w:t>The evaluation draws on data from a range of internationally recognised sources, including Eurostat, the OECD, UNESCO, the European Patent Office, the E-CORDA database, and the Web of Science Core Collection, as well as the European Innovation Scoreboard.</w:t>
      </w:r>
    </w:p>
    <w:p w14:paraId="101E9D81" w14:textId="51B73D92" w:rsidR="00725886" w:rsidRPr="00725886" w:rsidRDefault="00725886" w:rsidP="00815471">
      <w:pPr>
        <w:spacing w:line="276" w:lineRule="auto"/>
        <w:jc w:val="both"/>
        <w:rPr>
          <w:lang w:val="en-GB"/>
        </w:rPr>
      </w:pPr>
      <w:r w:rsidRPr="00725886">
        <w:rPr>
          <w:lang w:val="en-GB"/>
        </w:rPr>
        <w:t>A mixed-methods approach is applied, combining both quantitative and qualitative methodologies. The primary focus is on the countries of the Danube Region; however, where relevant, comparisons are also made with other E</w:t>
      </w:r>
      <w:r w:rsidR="00C6479C">
        <w:rPr>
          <w:lang w:val="en-GB"/>
        </w:rPr>
        <w:t>U</w:t>
      </w:r>
      <w:r w:rsidRPr="00725886">
        <w:rPr>
          <w:lang w:val="en-GB"/>
        </w:rPr>
        <w:t xml:space="preserve"> Member States. As with previous editions, the current analysis is constrained by the availability of data, particularly for countries that are not members of the EU.</w:t>
      </w:r>
    </w:p>
    <w:p w14:paraId="018D274C" w14:textId="77777777" w:rsidR="00725886" w:rsidRPr="00725886" w:rsidRDefault="00725886" w:rsidP="00815471">
      <w:pPr>
        <w:spacing w:line="276" w:lineRule="auto"/>
        <w:jc w:val="both"/>
        <w:rPr>
          <w:lang w:val="en-GB"/>
        </w:rPr>
      </w:pPr>
      <w:r w:rsidRPr="00725886">
        <w:rPr>
          <w:lang w:val="en-GB"/>
        </w:rPr>
        <w:t>The participating countries and regions of the EU Strategy for the Danube Region (EUSDR) are categorised into four groups:</w:t>
      </w:r>
    </w:p>
    <w:p w14:paraId="1F294263" w14:textId="77777777" w:rsidR="00725886" w:rsidRPr="00725886" w:rsidRDefault="00725886" w:rsidP="00815471">
      <w:pPr>
        <w:numPr>
          <w:ilvl w:val="0"/>
          <w:numId w:val="18"/>
        </w:numPr>
        <w:spacing w:line="276" w:lineRule="auto"/>
        <w:jc w:val="both"/>
        <w:rPr>
          <w:lang w:val="en-GB"/>
        </w:rPr>
      </w:pPr>
      <w:r w:rsidRPr="00725886">
        <w:rPr>
          <w:b/>
          <w:bCs/>
          <w:lang w:val="en-GB"/>
        </w:rPr>
        <w:t>EU Member States</w:t>
      </w:r>
      <w:r w:rsidRPr="00725886">
        <w:rPr>
          <w:lang w:val="en-GB"/>
        </w:rPr>
        <w:t xml:space="preserve">: Austria, Bulgaria, Croatia, Czech Republic, Germany, Hungary, Romania, Slovakia, and </w:t>
      </w:r>
      <w:proofErr w:type="gramStart"/>
      <w:r w:rsidRPr="00725886">
        <w:rPr>
          <w:lang w:val="en-GB"/>
        </w:rPr>
        <w:t>Slovenia;</w:t>
      </w:r>
      <w:proofErr w:type="gramEnd"/>
    </w:p>
    <w:p w14:paraId="0CE49727" w14:textId="77777777" w:rsidR="00725886" w:rsidRPr="00725886" w:rsidRDefault="00725886" w:rsidP="00815471">
      <w:pPr>
        <w:numPr>
          <w:ilvl w:val="0"/>
          <w:numId w:val="18"/>
        </w:numPr>
        <w:spacing w:line="276" w:lineRule="auto"/>
        <w:jc w:val="both"/>
        <w:rPr>
          <w:lang w:val="en-GB"/>
        </w:rPr>
      </w:pPr>
      <w:r w:rsidRPr="00725886">
        <w:rPr>
          <w:b/>
          <w:bCs/>
          <w:lang w:val="en-GB"/>
        </w:rPr>
        <w:t>Accession Countries</w:t>
      </w:r>
      <w:r w:rsidRPr="00725886">
        <w:rPr>
          <w:lang w:val="en-GB"/>
        </w:rPr>
        <w:t xml:space="preserve">: Bosnia and Herzegovina, Montenegro, and </w:t>
      </w:r>
      <w:proofErr w:type="gramStart"/>
      <w:r w:rsidRPr="00725886">
        <w:rPr>
          <w:lang w:val="en-GB"/>
        </w:rPr>
        <w:t>Serbia;</w:t>
      </w:r>
      <w:proofErr w:type="gramEnd"/>
    </w:p>
    <w:p w14:paraId="38876136" w14:textId="77777777" w:rsidR="00725886" w:rsidRPr="00725886" w:rsidRDefault="00725886" w:rsidP="00815471">
      <w:pPr>
        <w:numPr>
          <w:ilvl w:val="0"/>
          <w:numId w:val="18"/>
        </w:numPr>
        <w:spacing w:line="276" w:lineRule="auto"/>
        <w:jc w:val="both"/>
        <w:rPr>
          <w:lang w:val="en-GB"/>
        </w:rPr>
      </w:pPr>
      <w:r w:rsidRPr="00725886">
        <w:rPr>
          <w:b/>
          <w:bCs/>
          <w:lang w:val="en-GB"/>
        </w:rPr>
        <w:t>Associated Countries</w:t>
      </w:r>
      <w:r w:rsidRPr="00725886">
        <w:rPr>
          <w:lang w:val="en-GB"/>
        </w:rPr>
        <w:t xml:space="preserve">: Moldova and </w:t>
      </w:r>
      <w:proofErr w:type="gramStart"/>
      <w:r w:rsidRPr="00725886">
        <w:rPr>
          <w:lang w:val="en-GB"/>
        </w:rPr>
        <w:t>Ukraine;</w:t>
      </w:r>
      <w:proofErr w:type="gramEnd"/>
    </w:p>
    <w:p w14:paraId="3CA932FD" w14:textId="77777777" w:rsidR="00725886" w:rsidRPr="00725886" w:rsidRDefault="00725886" w:rsidP="00815471">
      <w:pPr>
        <w:numPr>
          <w:ilvl w:val="0"/>
          <w:numId w:val="18"/>
        </w:numPr>
        <w:spacing w:line="276" w:lineRule="auto"/>
        <w:jc w:val="both"/>
        <w:rPr>
          <w:lang w:val="en-GB"/>
        </w:rPr>
      </w:pPr>
      <w:r w:rsidRPr="00725886">
        <w:rPr>
          <w:b/>
          <w:bCs/>
          <w:lang w:val="en-GB"/>
        </w:rPr>
        <w:t>Regions</w:t>
      </w:r>
      <w:r w:rsidRPr="00725886">
        <w:rPr>
          <w:lang w:val="en-GB"/>
        </w:rPr>
        <w:t>: Bavaria and Baden-Württemberg.</w:t>
      </w:r>
    </w:p>
    <w:p w14:paraId="4215F850" w14:textId="7000FF83" w:rsidR="00725886" w:rsidRPr="00725886" w:rsidRDefault="00AA06A1" w:rsidP="00815471">
      <w:pPr>
        <w:spacing w:line="276" w:lineRule="auto"/>
        <w:jc w:val="both"/>
        <w:rPr>
          <w:lang w:val="en-GB"/>
        </w:rPr>
      </w:pPr>
      <w:r>
        <w:rPr>
          <w:lang w:val="en-GB"/>
        </w:rPr>
        <w:t>T</w:t>
      </w:r>
      <w:r w:rsidR="00725886" w:rsidRPr="00725886">
        <w:rPr>
          <w:lang w:val="en-GB"/>
        </w:rPr>
        <w:t>he Danube Region comprises both countries and regions. The first level of differentiation is between national and regional entities. The second distinction is between EU Member States (9) and non-EU countries (5). A further significant differentiation lies in the size of the countries: Germany alone accounts for over 41% of the region’s total population.</w:t>
      </w:r>
    </w:p>
    <w:p w14:paraId="5FE3FE2F" w14:textId="77777777" w:rsidR="00725886" w:rsidRPr="00725886" w:rsidRDefault="00725886" w:rsidP="00815471">
      <w:pPr>
        <w:spacing w:line="276" w:lineRule="auto"/>
        <w:jc w:val="both"/>
        <w:rPr>
          <w:lang w:val="en-GB"/>
        </w:rPr>
      </w:pPr>
      <w:r w:rsidRPr="00725886">
        <w:rPr>
          <w:lang w:val="en-GB"/>
        </w:rPr>
        <w:t>Finally, there are substantial disparities in research and innovation performance across the region. These differences necessitate the frequent use of qualitative comparisons, particularly where quantitative data are limited or not directly comparable.</w:t>
      </w:r>
    </w:p>
    <w:p w14:paraId="045E214F" w14:textId="77777777" w:rsidR="00FC5D52" w:rsidRDefault="00FC5D52" w:rsidP="00CF4F36">
      <w:pPr>
        <w:jc w:val="both"/>
        <w:rPr>
          <w:lang w:val="en-GB"/>
        </w:rPr>
      </w:pPr>
    </w:p>
    <w:p w14:paraId="4E980AC7" w14:textId="77777777" w:rsidR="00CF4F36" w:rsidRPr="000B59F4" w:rsidRDefault="00CF4F36" w:rsidP="00F872A6"/>
    <w:p w14:paraId="5BCB719C" w14:textId="77777777" w:rsidR="0001157C" w:rsidRDefault="0001157C" w:rsidP="00F872A6"/>
    <w:p w14:paraId="6B4AC70E" w14:textId="77777777" w:rsidR="0001157C" w:rsidRDefault="0001157C" w:rsidP="00F872A6"/>
    <w:p w14:paraId="14DAAB73" w14:textId="77777777" w:rsidR="0001157C" w:rsidRDefault="0001157C" w:rsidP="00F872A6"/>
    <w:p w14:paraId="403860C0" w14:textId="77777777" w:rsidR="0001157C" w:rsidRDefault="0001157C" w:rsidP="00F872A6"/>
    <w:p w14:paraId="390CAD42" w14:textId="0EF737AA" w:rsidR="009E4FD3" w:rsidRPr="002E7249" w:rsidRDefault="009E4FD3" w:rsidP="009E4FD3">
      <w:pPr>
        <w:pStyle w:val="Nadpis1"/>
        <w:numPr>
          <w:ilvl w:val="0"/>
          <w:numId w:val="1"/>
        </w:numPr>
        <w:spacing w:after="120"/>
        <w:jc w:val="both"/>
        <w:rPr>
          <w:b/>
          <w:lang w:val="en-GB"/>
        </w:rPr>
      </w:pPr>
      <w:bookmarkStart w:id="9" w:name="_Toc27103653"/>
      <w:bookmarkStart w:id="10" w:name="_Toc107413806"/>
      <w:bookmarkStart w:id="11" w:name="_Toc202166682"/>
      <w:r>
        <w:rPr>
          <w:b/>
          <w:lang w:val="en-GB"/>
        </w:rPr>
        <w:lastRenderedPageBreak/>
        <w:t>A</w:t>
      </w:r>
      <w:r w:rsidRPr="002E7249">
        <w:rPr>
          <w:b/>
          <w:lang w:val="en-GB"/>
        </w:rPr>
        <w:t>ssessment of the knowledge society in the Danube region</w:t>
      </w:r>
      <w:bookmarkEnd w:id="9"/>
      <w:bookmarkEnd w:id="10"/>
      <w:bookmarkEnd w:id="11"/>
      <w:r w:rsidRPr="002E7249">
        <w:rPr>
          <w:b/>
          <w:lang w:val="en-GB"/>
        </w:rPr>
        <w:t xml:space="preserve"> </w:t>
      </w:r>
    </w:p>
    <w:p w14:paraId="71A77CD3" w14:textId="77777777" w:rsidR="009E4FD3" w:rsidRDefault="009E4FD3" w:rsidP="00815471">
      <w:pPr>
        <w:spacing w:line="276" w:lineRule="auto"/>
        <w:jc w:val="both"/>
        <w:rPr>
          <w:lang w:val="en-GB"/>
        </w:rPr>
      </w:pPr>
    </w:p>
    <w:p w14:paraId="28D94A81" w14:textId="77777777" w:rsidR="004C1E17" w:rsidRPr="004C1E17" w:rsidRDefault="004C1E17" w:rsidP="00815471">
      <w:pPr>
        <w:spacing w:line="276" w:lineRule="auto"/>
        <w:jc w:val="both"/>
        <w:rPr>
          <w:lang w:val="en-GB"/>
        </w:rPr>
      </w:pPr>
      <w:r w:rsidRPr="004C1E17">
        <w:rPr>
          <w:lang w:val="en-GB"/>
        </w:rPr>
        <w:t>As in the previous analysis, the current assessment of the knowledge society is structured into five interrelated and complementary domains, which together form the innovation chain. The analysis focuses on a comparative evaluation of the years 2010, 2017, and 2023 (or 2024, where applicable). In cases where data are unavailable or the methodology has changed (e.g. in the European Innovation Scoreboard), the comparison is based on the two most recent years.</w:t>
      </w:r>
    </w:p>
    <w:p w14:paraId="330BFCFF" w14:textId="77777777" w:rsidR="004C1E17" w:rsidRPr="004C1E17" w:rsidRDefault="004C1E17" w:rsidP="00815471">
      <w:pPr>
        <w:spacing w:line="276" w:lineRule="auto"/>
        <w:jc w:val="both"/>
        <w:rPr>
          <w:lang w:val="en-GB"/>
        </w:rPr>
      </w:pPr>
      <w:r w:rsidRPr="004C1E17">
        <w:rPr>
          <w:lang w:val="en-GB"/>
        </w:rPr>
        <w:t>The innovation chain is broken down into five key components representing the innovation process:</w:t>
      </w:r>
    </w:p>
    <w:p w14:paraId="6DF59D13" w14:textId="77777777" w:rsidR="004C1E17" w:rsidRPr="004C1E17" w:rsidRDefault="004C1E17" w:rsidP="00815471">
      <w:pPr>
        <w:numPr>
          <w:ilvl w:val="0"/>
          <w:numId w:val="19"/>
        </w:numPr>
        <w:spacing w:line="276" w:lineRule="auto"/>
        <w:jc w:val="both"/>
        <w:rPr>
          <w:lang w:val="en-GB"/>
        </w:rPr>
      </w:pPr>
      <w:r w:rsidRPr="004C1E17">
        <w:rPr>
          <w:lang w:val="en-GB"/>
        </w:rPr>
        <w:t>Investments in research and innovation</w:t>
      </w:r>
    </w:p>
    <w:p w14:paraId="0297C4F6" w14:textId="77777777" w:rsidR="004C1E17" w:rsidRPr="004C1E17" w:rsidRDefault="004C1E17" w:rsidP="00815471">
      <w:pPr>
        <w:numPr>
          <w:ilvl w:val="0"/>
          <w:numId w:val="19"/>
        </w:numPr>
        <w:spacing w:line="276" w:lineRule="auto"/>
        <w:jc w:val="both"/>
        <w:rPr>
          <w:lang w:val="en-GB"/>
        </w:rPr>
      </w:pPr>
      <w:r w:rsidRPr="004C1E17">
        <w:rPr>
          <w:lang w:val="en-GB"/>
        </w:rPr>
        <w:t>Investments in talent and human resources</w:t>
      </w:r>
    </w:p>
    <w:p w14:paraId="136BC9F1" w14:textId="77777777" w:rsidR="004C1E17" w:rsidRPr="004C1E17" w:rsidRDefault="004C1E17" w:rsidP="00815471">
      <w:pPr>
        <w:numPr>
          <w:ilvl w:val="0"/>
          <w:numId w:val="19"/>
        </w:numPr>
        <w:spacing w:line="276" w:lineRule="auto"/>
        <w:jc w:val="both"/>
        <w:rPr>
          <w:lang w:val="en-GB"/>
        </w:rPr>
      </w:pPr>
      <w:r w:rsidRPr="004C1E17">
        <w:rPr>
          <w:lang w:val="en-GB"/>
        </w:rPr>
        <w:t>Innovation activities (collaboration among stakeholders, mobility)</w:t>
      </w:r>
    </w:p>
    <w:p w14:paraId="292EDB5A" w14:textId="77777777" w:rsidR="004C1E17" w:rsidRPr="004C1E17" w:rsidRDefault="004C1E17" w:rsidP="00815471">
      <w:pPr>
        <w:numPr>
          <w:ilvl w:val="0"/>
          <w:numId w:val="19"/>
        </w:numPr>
        <w:spacing w:line="276" w:lineRule="auto"/>
        <w:jc w:val="both"/>
        <w:rPr>
          <w:lang w:val="en-GB"/>
        </w:rPr>
      </w:pPr>
      <w:r w:rsidRPr="004C1E17">
        <w:rPr>
          <w:lang w:val="en-GB"/>
        </w:rPr>
        <w:t>Outputs of research and innovation (scientific publications, citations, patents)</w:t>
      </w:r>
    </w:p>
    <w:p w14:paraId="05A1CA0A" w14:textId="77777777" w:rsidR="004C1E17" w:rsidRPr="004C1E17" w:rsidRDefault="004C1E17" w:rsidP="00815471">
      <w:pPr>
        <w:numPr>
          <w:ilvl w:val="0"/>
          <w:numId w:val="19"/>
        </w:numPr>
        <w:spacing w:line="276" w:lineRule="auto"/>
        <w:jc w:val="both"/>
        <w:rPr>
          <w:lang w:val="en-GB"/>
        </w:rPr>
      </w:pPr>
      <w:r w:rsidRPr="004C1E17">
        <w:rPr>
          <w:lang w:val="en-GB"/>
        </w:rPr>
        <w:t>Short-term and long-term impacts (increased innovation, productivity, exports)</w:t>
      </w:r>
    </w:p>
    <w:p w14:paraId="2AD099E8" w14:textId="77777777" w:rsidR="004C1E17" w:rsidRPr="004C1E17" w:rsidRDefault="004C1E17" w:rsidP="00815471">
      <w:pPr>
        <w:spacing w:line="276" w:lineRule="auto"/>
        <w:jc w:val="both"/>
        <w:rPr>
          <w:lang w:val="en-GB"/>
        </w:rPr>
      </w:pPr>
      <w:r w:rsidRPr="004C1E17">
        <w:rPr>
          <w:lang w:val="en-GB"/>
        </w:rPr>
        <w:t>The analysis begins with a general overview based on data and reports prepared by the European Commission, particularly the composite indicator used to measure the state and progress of innovation across EU Member States – the European Innovation Scoreboard (EIS). In addition to tracking progress, the EIS enables cross-country comparisons. It comprises 32 indicators covering the entire innovation chain and aims to provide feedback to countries on the performance of their innovation systems. The indicators span areas such as education, research, innovation, and market activities.</w:t>
      </w:r>
    </w:p>
    <w:p w14:paraId="1FAD1C92" w14:textId="77777777" w:rsidR="004C1E17" w:rsidRPr="004C1E17" w:rsidRDefault="004C1E17" w:rsidP="00815471">
      <w:pPr>
        <w:spacing w:line="276" w:lineRule="auto"/>
        <w:jc w:val="both"/>
        <w:rPr>
          <w:lang w:val="en-GB"/>
        </w:rPr>
      </w:pPr>
      <w:r w:rsidRPr="004C1E17">
        <w:rPr>
          <w:lang w:val="en-GB"/>
        </w:rPr>
        <w:t>Based on the composite indicator, countries are classified into four performance groups:</w:t>
      </w:r>
    </w:p>
    <w:p w14:paraId="4F2DC4DC" w14:textId="77777777" w:rsidR="004C1E17" w:rsidRPr="004C1E17" w:rsidRDefault="004C1E17" w:rsidP="00815471">
      <w:pPr>
        <w:numPr>
          <w:ilvl w:val="0"/>
          <w:numId w:val="20"/>
        </w:numPr>
        <w:spacing w:line="276" w:lineRule="auto"/>
        <w:jc w:val="both"/>
        <w:rPr>
          <w:lang w:val="en-GB"/>
        </w:rPr>
      </w:pPr>
      <w:r w:rsidRPr="004C1E17">
        <w:rPr>
          <w:lang w:val="en-GB"/>
        </w:rPr>
        <w:t>Innovation Leaders</w:t>
      </w:r>
    </w:p>
    <w:p w14:paraId="29E61220" w14:textId="77777777" w:rsidR="004C1E17" w:rsidRPr="004C1E17" w:rsidRDefault="004C1E17" w:rsidP="00815471">
      <w:pPr>
        <w:numPr>
          <w:ilvl w:val="0"/>
          <w:numId w:val="20"/>
        </w:numPr>
        <w:spacing w:line="276" w:lineRule="auto"/>
        <w:jc w:val="both"/>
        <w:rPr>
          <w:lang w:val="en-GB"/>
        </w:rPr>
      </w:pPr>
      <w:r w:rsidRPr="004C1E17">
        <w:rPr>
          <w:lang w:val="en-GB"/>
        </w:rPr>
        <w:t>Strong Innovators</w:t>
      </w:r>
    </w:p>
    <w:p w14:paraId="7A52262B" w14:textId="77777777" w:rsidR="004C1E17" w:rsidRPr="004C1E17" w:rsidRDefault="004C1E17" w:rsidP="00815471">
      <w:pPr>
        <w:numPr>
          <w:ilvl w:val="0"/>
          <w:numId w:val="20"/>
        </w:numPr>
        <w:spacing w:line="276" w:lineRule="auto"/>
        <w:jc w:val="both"/>
        <w:rPr>
          <w:lang w:val="en-GB"/>
        </w:rPr>
      </w:pPr>
      <w:r w:rsidRPr="004C1E17">
        <w:rPr>
          <w:lang w:val="en-GB"/>
        </w:rPr>
        <w:t>Moderate Innovators</w:t>
      </w:r>
    </w:p>
    <w:p w14:paraId="3C8F49F0" w14:textId="77777777" w:rsidR="004C1E17" w:rsidRPr="004C1E17" w:rsidRDefault="004C1E17" w:rsidP="00815471">
      <w:pPr>
        <w:numPr>
          <w:ilvl w:val="0"/>
          <w:numId w:val="20"/>
        </w:numPr>
        <w:spacing w:line="276" w:lineRule="auto"/>
        <w:jc w:val="both"/>
        <w:rPr>
          <w:lang w:val="en-GB"/>
        </w:rPr>
      </w:pPr>
      <w:r w:rsidRPr="004C1E17">
        <w:rPr>
          <w:lang w:val="en-GB"/>
        </w:rPr>
        <w:t>Emerging Innovators</w:t>
      </w:r>
    </w:p>
    <w:p w14:paraId="60146203" w14:textId="2B8B699F" w:rsidR="004C1E17" w:rsidRPr="004C1E17" w:rsidRDefault="004C1E17" w:rsidP="00815471">
      <w:pPr>
        <w:spacing w:line="276" w:lineRule="auto"/>
        <w:jc w:val="both"/>
        <w:rPr>
          <w:lang w:val="en-GB"/>
        </w:rPr>
      </w:pPr>
      <w:r w:rsidRPr="004C1E17">
        <w:rPr>
          <w:lang w:val="en-GB"/>
        </w:rPr>
        <w:t>Among the countries of the Danube Region, none are classified as Innovation Leaders. Austria and Germany are part of the Strong Innovators group. Slovenia, the Czech Republic, and Hungary fall into the Moderate Innovators category. All other countries are classified as Emerging Innovators. The comparative analysis clearly shows that Innovation Leaders are predominantly located in Northern Europe and the Benelux countries. Within the Danube Region, Austria has the highest innovation index, while Moldova, Ukraine, and Bosnia and Herzegovina rank the lowest.</w:t>
      </w:r>
    </w:p>
    <w:p w14:paraId="75381FB4" w14:textId="77777777" w:rsidR="004C1E17" w:rsidRDefault="004C1E17" w:rsidP="009E4FD3">
      <w:pPr>
        <w:jc w:val="both"/>
        <w:rPr>
          <w:lang w:val="en-GB"/>
        </w:rPr>
      </w:pPr>
    </w:p>
    <w:p w14:paraId="5CC6FCAB" w14:textId="77777777" w:rsidR="004C1E17" w:rsidRDefault="004C1E17" w:rsidP="009E4FD3">
      <w:pPr>
        <w:jc w:val="both"/>
        <w:rPr>
          <w:lang w:val="en-GB"/>
        </w:rPr>
      </w:pPr>
    </w:p>
    <w:p w14:paraId="54CCCC9C" w14:textId="3F219E99" w:rsidR="003654EE" w:rsidRPr="004E7F6F" w:rsidRDefault="003654EE" w:rsidP="003654EE">
      <w:pPr>
        <w:pStyle w:val="Popis"/>
        <w:keepNext/>
        <w:spacing w:after="120"/>
        <w:rPr>
          <w:b/>
          <w:bCs/>
          <w:i w:val="0"/>
          <w:iCs w:val="0"/>
          <w:color w:val="auto"/>
          <w:sz w:val="20"/>
          <w:szCs w:val="20"/>
        </w:rPr>
      </w:pPr>
      <w:bookmarkStart w:id="12" w:name="_Toc202166631"/>
      <w:proofErr w:type="spellStart"/>
      <w:r w:rsidRPr="004E7F6F">
        <w:rPr>
          <w:b/>
          <w:bCs/>
          <w:i w:val="0"/>
          <w:iCs w:val="0"/>
          <w:color w:val="auto"/>
          <w:sz w:val="20"/>
          <w:szCs w:val="20"/>
        </w:rPr>
        <w:lastRenderedPageBreak/>
        <w:t>Graph</w:t>
      </w:r>
      <w:proofErr w:type="spellEnd"/>
      <w:r w:rsidRPr="004E7F6F">
        <w:rPr>
          <w:b/>
          <w:bCs/>
          <w:i w:val="0"/>
          <w:iCs w:val="0"/>
          <w:color w:val="auto"/>
          <w:sz w:val="20"/>
          <w:szCs w:val="20"/>
        </w:rPr>
        <w:t xml:space="preserve">  </w:t>
      </w:r>
      <w:r w:rsidRPr="004E7F6F">
        <w:rPr>
          <w:b/>
          <w:bCs/>
          <w:i w:val="0"/>
          <w:iCs w:val="0"/>
          <w:color w:val="auto"/>
          <w:sz w:val="20"/>
          <w:szCs w:val="20"/>
        </w:rPr>
        <w:fldChar w:fldCharType="begin"/>
      </w:r>
      <w:r w:rsidRPr="004E7F6F">
        <w:rPr>
          <w:b/>
          <w:bCs/>
          <w:i w:val="0"/>
          <w:iCs w:val="0"/>
          <w:color w:val="auto"/>
          <w:sz w:val="20"/>
          <w:szCs w:val="20"/>
        </w:rPr>
        <w:instrText xml:space="preserve"> SEQ Graph_ \* ARABIC </w:instrText>
      </w:r>
      <w:r w:rsidRPr="004E7F6F">
        <w:rPr>
          <w:b/>
          <w:bCs/>
          <w:i w:val="0"/>
          <w:iCs w:val="0"/>
          <w:color w:val="auto"/>
          <w:sz w:val="20"/>
          <w:szCs w:val="20"/>
        </w:rPr>
        <w:fldChar w:fldCharType="separate"/>
      </w:r>
      <w:r w:rsidR="00FE761C">
        <w:rPr>
          <w:b/>
          <w:bCs/>
          <w:i w:val="0"/>
          <w:iCs w:val="0"/>
          <w:noProof/>
          <w:color w:val="auto"/>
          <w:sz w:val="20"/>
          <w:szCs w:val="20"/>
        </w:rPr>
        <w:t>1</w:t>
      </w:r>
      <w:r w:rsidRPr="004E7F6F">
        <w:rPr>
          <w:b/>
          <w:bCs/>
          <w:i w:val="0"/>
          <w:iCs w:val="0"/>
          <w:color w:val="auto"/>
          <w:sz w:val="20"/>
          <w:szCs w:val="20"/>
        </w:rPr>
        <w:fldChar w:fldCharType="end"/>
      </w:r>
      <w:r w:rsidRPr="004E7F6F">
        <w:rPr>
          <w:b/>
          <w:bCs/>
          <w:i w:val="0"/>
          <w:iCs w:val="0"/>
          <w:color w:val="auto"/>
          <w:sz w:val="20"/>
          <w:szCs w:val="20"/>
        </w:rPr>
        <w:t xml:space="preserve"> </w:t>
      </w:r>
      <w:proofErr w:type="spellStart"/>
      <w:r w:rsidRPr="004E7F6F">
        <w:rPr>
          <w:b/>
          <w:bCs/>
          <w:i w:val="0"/>
          <w:iCs w:val="0"/>
          <w:color w:val="auto"/>
          <w:sz w:val="20"/>
          <w:szCs w:val="20"/>
        </w:rPr>
        <w:t>European</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Innovation</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Scoreboard</w:t>
      </w:r>
      <w:proofErr w:type="spellEnd"/>
      <w:r w:rsidRPr="004E7F6F">
        <w:rPr>
          <w:b/>
          <w:bCs/>
          <w:i w:val="0"/>
          <w:iCs w:val="0"/>
          <w:color w:val="auto"/>
          <w:sz w:val="20"/>
          <w:szCs w:val="20"/>
        </w:rPr>
        <w:t xml:space="preserve"> - </w:t>
      </w:r>
      <w:proofErr w:type="spellStart"/>
      <w:r w:rsidRPr="004E7F6F">
        <w:rPr>
          <w:b/>
          <w:bCs/>
          <w:i w:val="0"/>
          <w:iCs w:val="0"/>
          <w:color w:val="auto"/>
          <w:sz w:val="20"/>
          <w:szCs w:val="20"/>
        </w:rPr>
        <w:t>Summary</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Innovation</w:t>
      </w:r>
      <w:proofErr w:type="spellEnd"/>
      <w:r w:rsidRPr="004E7F6F">
        <w:rPr>
          <w:b/>
          <w:bCs/>
          <w:i w:val="0"/>
          <w:iCs w:val="0"/>
          <w:color w:val="auto"/>
          <w:sz w:val="20"/>
          <w:szCs w:val="20"/>
        </w:rPr>
        <w:t xml:space="preserve"> Index</w:t>
      </w:r>
      <w:bookmarkEnd w:id="12"/>
    </w:p>
    <w:p w14:paraId="27B08B83" w14:textId="7F03B794" w:rsidR="006E07C6" w:rsidRDefault="005C24A9" w:rsidP="000A7FA6">
      <w:pPr>
        <w:spacing w:after="0"/>
      </w:pPr>
      <w:r>
        <w:rPr>
          <w:noProof/>
          <w14:ligatures w14:val="standardContextual"/>
        </w:rPr>
        <w:drawing>
          <wp:inline distT="0" distB="0" distL="0" distR="0" wp14:anchorId="4CA6B15C" wp14:editId="7B005EEB">
            <wp:extent cx="5760720" cy="2880000"/>
            <wp:effectExtent l="0" t="0" r="11430" b="15875"/>
            <wp:docPr id="4037392" name="Graf 1">
              <a:extLst xmlns:a="http://schemas.openxmlformats.org/drawingml/2006/main">
                <a:ext uri="{FF2B5EF4-FFF2-40B4-BE49-F238E27FC236}">
                  <a16:creationId xmlns:a16="http://schemas.microsoft.com/office/drawing/2014/main" id="{4A224EF8-F907-63B0-0EB0-A3AF42911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0A7F49" w14:textId="524D07F8" w:rsidR="003F022C" w:rsidRDefault="003F022C" w:rsidP="003F022C">
      <w:pPr>
        <w:jc w:val="right"/>
        <w:rPr>
          <w:i/>
          <w:iCs/>
          <w:sz w:val="20"/>
          <w:szCs w:val="20"/>
        </w:rPr>
      </w:pPr>
      <w:proofErr w:type="spellStart"/>
      <w:r>
        <w:rPr>
          <w:i/>
          <w:iCs/>
          <w:sz w:val="20"/>
          <w:szCs w:val="20"/>
        </w:rPr>
        <w:t>Source</w:t>
      </w:r>
      <w:proofErr w:type="spellEnd"/>
      <w:r>
        <w:rPr>
          <w:i/>
          <w:iCs/>
          <w:sz w:val="20"/>
          <w:szCs w:val="20"/>
        </w:rPr>
        <w:t xml:space="preserve">: </w:t>
      </w:r>
      <w:proofErr w:type="spellStart"/>
      <w:r w:rsidRPr="003F022C">
        <w:rPr>
          <w:i/>
          <w:iCs/>
          <w:sz w:val="20"/>
          <w:szCs w:val="20"/>
        </w:rPr>
        <w:t>European</w:t>
      </w:r>
      <w:proofErr w:type="spellEnd"/>
      <w:r w:rsidRPr="003F022C">
        <w:rPr>
          <w:i/>
          <w:iCs/>
          <w:sz w:val="20"/>
          <w:szCs w:val="20"/>
        </w:rPr>
        <w:t xml:space="preserve"> </w:t>
      </w:r>
      <w:proofErr w:type="spellStart"/>
      <w:r w:rsidRPr="003F022C">
        <w:rPr>
          <w:i/>
          <w:iCs/>
          <w:sz w:val="20"/>
          <w:szCs w:val="20"/>
        </w:rPr>
        <w:t>Innovation</w:t>
      </w:r>
      <w:proofErr w:type="spellEnd"/>
      <w:r w:rsidRPr="003F022C">
        <w:rPr>
          <w:i/>
          <w:iCs/>
          <w:sz w:val="20"/>
          <w:szCs w:val="20"/>
        </w:rPr>
        <w:t xml:space="preserve"> </w:t>
      </w:r>
      <w:proofErr w:type="spellStart"/>
      <w:r w:rsidRPr="003F022C">
        <w:rPr>
          <w:i/>
          <w:iCs/>
          <w:sz w:val="20"/>
          <w:szCs w:val="20"/>
        </w:rPr>
        <w:t>Scoreboard</w:t>
      </w:r>
      <w:proofErr w:type="spellEnd"/>
      <w:r w:rsidRPr="003F022C">
        <w:rPr>
          <w:i/>
          <w:iCs/>
          <w:sz w:val="20"/>
          <w:szCs w:val="20"/>
        </w:rPr>
        <w:t xml:space="preserve"> 2024</w:t>
      </w:r>
    </w:p>
    <w:p w14:paraId="2DE003F9" w14:textId="77777777" w:rsidR="00F009DD" w:rsidRDefault="00F009DD" w:rsidP="00FB22E6">
      <w:pPr>
        <w:pStyle w:val="Popis"/>
        <w:keepNext/>
        <w:spacing w:after="120"/>
        <w:jc w:val="both"/>
        <w:rPr>
          <w:i w:val="0"/>
          <w:iCs w:val="0"/>
          <w:color w:val="auto"/>
          <w:sz w:val="22"/>
          <w:szCs w:val="22"/>
          <w:lang w:val="en-GB"/>
        </w:rPr>
      </w:pPr>
    </w:p>
    <w:p w14:paraId="44B9EFF7" w14:textId="4337FF1B" w:rsidR="00FB22E6" w:rsidRPr="00FB22E6" w:rsidRDefault="00FB22E6" w:rsidP="00BD54E4">
      <w:pPr>
        <w:pStyle w:val="Popis"/>
        <w:keepNext/>
        <w:spacing w:after="120" w:line="276" w:lineRule="auto"/>
        <w:jc w:val="both"/>
        <w:rPr>
          <w:i w:val="0"/>
          <w:iCs w:val="0"/>
          <w:color w:val="auto"/>
          <w:sz w:val="22"/>
          <w:szCs w:val="22"/>
          <w:lang w:val="en-GB"/>
        </w:rPr>
      </w:pPr>
      <w:r w:rsidRPr="00FB22E6">
        <w:rPr>
          <w:i w:val="0"/>
          <w:iCs w:val="0"/>
          <w:color w:val="auto"/>
          <w:sz w:val="22"/>
          <w:szCs w:val="22"/>
          <w:lang w:val="en-GB"/>
        </w:rPr>
        <w:t xml:space="preserve">Compared to 2017, the most significant improvement in the European Innovation Scoreboard (EIS) in 2024 was recorded by the Czech Republic and Croatia. In contrast, the lowest progress was observed in Moldova, Romania, and Slovakia. In terms of relative progress, the highest </w:t>
      </w:r>
      <w:r w:rsidR="00F009DD" w:rsidRPr="00FB22E6">
        <w:rPr>
          <w:i w:val="0"/>
          <w:iCs w:val="0"/>
          <w:color w:val="auto"/>
          <w:sz w:val="22"/>
          <w:szCs w:val="22"/>
          <w:lang w:val="en-GB"/>
        </w:rPr>
        <w:t>increases</w:t>
      </w:r>
      <w:r w:rsidRPr="00FB22E6">
        <w:rPr>
          <w:i w:val="0"/>
          <w:iCs w:val="0"/>
          <w:color w:val="auto"/>
          <w:sz w:val="22"/>
          <w:szCs w:val="22"/>
          <w:lang w:val="en-GB"/>
        </w:rPr>
        <w:t xml:space="preserve"> were achieved by Croatia, Bosnia and Herzegovina, and the Czech Republic, while the lowest were recorded by Moldova, Germany, and Austria.</w:t>
      </w:r>
    </w:p>
    <w:p w14:paraId="4BB65A4A" w14:textId="0BE75524" w:rsidR="004E7F6F" w:rsidRPr="004E7F6F" w:rsidRDefault="004E7F6F" w:rsidP="004E7F6F">
      <w:pPr>
        <w:pStyle w:val="Popis"/>
        <w:keepNext/>
        <w:spacing w:after="120"/>
        <w:rPr>
          <w:b/>
          <w:bCs/>
          <w:i w:val="0"/>
          <w:iCs w:val="0"/>
          <w:color w:val="auto"/>
          <w:sz w:val="20"/>
          <w:szCs w:val="20"/>
        </w:rPr>
      </w:pPr>
      <w:bookmarkStart w:id="13" w:name="_Toc202166632"/>
      <w:proofErr w:type="spellStart"/>
      <w:r w:rsidRPr="004E7F6F">
        <w:rPr>
          <w:b/>
          <w:bCs/>
          <w:i w:val="0"/>
          <w:iCs w:val="0"/>
          <w:color w:val="auto"/>
          <w:sz w:val="20"/>
          <w:szCs w:val="20"/>
        </w:rPr>
        <w:t>Graph</w:t>
      </w:r>
      <w:proofErr w:type="spellEnd"/>
      <w:r w:rsidRPr="004E7F6F">
        <w:rPr>
          <w:b/>
          <w:bCs/>
          <w:i w:val="0"/>
          <w:iCs w:val="0"/>
          <w:color w:val="auto"/>
          <w:sz w:val="20"/>
          <w:szCs w:val="20"/>
        </w:rPr>
        <w:t xml:space="preserve">  </w:t>
      </w:r>
      <w:r w:rsidRPr="004E7F6F">
        <w:rPr>
          <w:b/>
          <w:bCs/>
          <w:i w:val="0"/>
          <w:iCs w:val="0"/>
          <w:color w:val="auto"/>
          <w:sz w:val="20"/>
          <w:szCs w:val="20"/>
        </w:rPr>
        <w:fldChar w:fldCharType="begin"/>
      </w:r>
      <w:r w:rsidRPr="004E7F6F">
        <w:rPr>
          <w:b/>
          <w:bCs/>
          <w:i w:val="0"/>
          <w:iCs w:val="0"/>
          <w:color w:val="auto"/>
          <w:sz w:val="20"/>
          <w:szCs w:val="20"/>
        </w:rPr>
        <w:instrText xml:space="preserve"> SEQ Graph_ \* ARABIC </w:instrText>
      </w:r>
      <w:r w:rsidRPr="004E7F6F">
        <w:rPr>
          <w:b/>
          <w:bCs/>
          <w:i w:val="0"/>
          <w:iCs w:val="0"/>
          <w:color w:val="auto"/>
          <w:sz w:val="20"/>
          <w:szCs w:val="20"/>
        </w:rPr>
        <w:fldChar w:fldCharType="separate"/>
      </w:r>
      <w:r w:rsidR="00FE761C">
        <w:rPr>
          <w:b/>
          <w:bCs/>
          <w:i w:val="0"/>
          <w:iCs w:val="0"/>
          <w:noProof/>
          <w:color w:val="auto"/>
          <w:sz w:val="20"/>
          <w:szCs w:val="20"/>
        </w:rPr>
        <w:t>2</w:t>
      </w:r>
      <w:r w:rsidRPr="004E7F6F">
        <w:rPr>
          <w:b/>
          <w:bCs/>
          <w:i w:val="0"/>
          <w:iCs w:val="0"/>
          <w:color w:val="auto"/>
          <w:sz w:val="20"/>
          <w:szCs w:val="20"/>
        </w:rPr>
        <w:fldChar w:fldCharType="end"/>
      </w:r>
      <w:r w:rsidRPr="004E7F6F">
        <w:rPr>
          <w:b/>
          <w:bCs/>
          <w:i w:val="0"/>
          <w:iCs w:val="0"/>
          <w:color w:val="auto"/>
          <w:sz w:val="20"/>
          <w:szCs w:val="20"/>
        </w:rPr>
        <w:t xml:space="preserve"> </w:t>
      </w:r>
      <w:proofErr w:type="spellStart"/>
      <w:r w:rsidRPr="004E7F6F">
        <w:rPr>
          <w:b/>
          <w:bCs/>
          <w:i w:val="0"/>
          <w:iCs w:val="0"/>
          <w:color w:val="auto"/>
          <w:sz w:val="20"/>
          <w:szCs w:val="20"/>
        </w:rPr>
        <w:t>European</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Innovation</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Scoreboard</w:t>
      </w:r>
      <w:proofErr w:type="spellEnd"/>
      <w:r w:rsidRPr="004E7F6F">
        <w:rPr>
          <w:b/>
          <w:bCs/>
          <w:i w:val="0"/>
          <w:iCs w:val="0"/>
          <w:color w:val="auto"/>
          <w:sz w:val="20"/>
          <w:szCs w:val="20"/>
        </w:rPr>
        <w:t xml:space="preserve"> - </w:t>
      </w:r>
      <w:proofErr w:type="spellStart"/>
      <w:r w:rsidRPr="004E7F6F">
        <w:rPr>
          <w:b/>
          <w:bCs/>
          <w:i w:val="0"/>
          <w:iCs w:val="0"/>
          <w:color w:val="auto"/>
          <w:sz w:val="20"/>
          <w:szCs w:val="20"/>
        </w:rPr>
        <w:t>Summary</w:t>
      </w:r>
      <w:proofErr w:type="spellEnd"/>
      <w:r w:rsidRPr="004E7F6F">
        <w:rPr>
          <w:b/>
          <w:bCs/>
          <w:i w:val="0"/>
          <w:iCs w:val="0"/>
          <w:color w:val="auto"/>
          <w:sz w:val="20"/>
          <w:szCs w:val="20"/>
        </w:rPr>
        <w:t xml:space="preserve"> </w:t>
      </w:r>
      <w:proofErr w:type="spellStart"/>
      <w:r w:rsidRPr="004E7F6F">
        <w:rPr>
          <w:b/>
          <w:bCs/>
          <w:i w:val="0"/>
          <w:iCs w:val="0"/>
          <w:color w:val="auto"/>
          <w:sz w:val="20"/>
          <w:szCs w:val="20"/>
        </w:rPr>
        <w:t>Innovation</w:t>
      </w:r>
      <w:proofErr w:type="spellEnd"/>
      <w:r w:rsidRPr="004E7F6F">
        <w:rPr>
          <w:b/>
          <w:bCs/>
          <w:i w:val="0"/>
          <w:iCs w:val="0"/>
          <w:color w:val="auto"/>
          <w:sz w:val="20"/>
          <w:szCs w:val="20"/>
        </w:rPr>
        <w:t xml:space="preserve"> Index - </w:t>
      </w:r>
      <w:proofErr w:type="spellStart"/>
      <w:r w:rsidRPr="004E7F6F">
        <w:rPr>
          <w:b/>
          <w:bCs/>
          <w:i w:val="0"/>
          <w:iCs w:val="0"/>
          <w:color w:val="auto"/>
          <w:sz w:val="20"/>
          <w:szCs w:val="20"/>
        </w:rPr>
        <w:t>progress</w:t>
      </w:r>
      <w:bookmarkEnd w:id="13"/>
      <w:proofErr w:type="spellEnd"/>
    </w:p>
    <w:p w14:paraId="436EB9CF" w14:textId="54086DEB" w:rsidR="00222D32" w:rsidRDefault="00222D32" w:rsidP="00CC3135">
      <w:pPr>
        <w:spacing w:after="0"/>
        <w:rPr>
          <w:i/>
          <w:iCs/>
          <w:sz w:val="20"/>
          <w:szCs w:val="20"/>
        </w:rPr>
      </w:pPr>
      <w:r>
        <w:rPr>
          <w:noProof/>
          <w14:ligatures w14:val="standardContextual"/>
        </w:rPr>
        <w:drawing>
          <wp:inline distT="0" distB="0" distL="0" distR="0" wp14:anchorId="626DA0D8" wp14:editId="58465F99">
            <wp:extent cx="5760720" cy="2548255"/>
            <wp:effectExtent l="0" t="0" r="11430" b="4445"/>
            <wp:docPr id="22014901" name="Graf 1">
              <a:extLst xmlns:a="http://schemas.openxmlformats.org/drawingml/2006/main">
                <a:ext uri="{FF2B5EF4-FFF2-40B4-BE49-F238E27FC236}">
                  <a16:creationId xmlns:a16="http://schemas.microsoft.com/office/drawing/2014/main" id="{C3E0866B-10B5-4B24-A937-17E49AAD5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A1871" w14:textId="77777777" w:rsidR="00CC3135" w:rsidRDefault="00CC3135" w:rsidP="00CC3135">
      <w:pPr>
        <w:spacing w:after="0"/>
        <w:jc w:val="right"/>
        <w:rPr>
          <w:i/>
          <w:iCs/>
          <w:sz w:val="20"/>
          <w:szCs w:val="20"/>
        </w:rPr>
      </w:pPr>
      <w:proofErr w:type="spellStart"/>
      <w:r>
        <w:rPr>
          <w:i/>
          <w:iCs/>
          <w:sz w:val="20"/>
          <w:szCs w:val="20"/>
        </w:rPr>
        <w:t>Source</w:t>
      </w:r>
      <w:proofErr w:type="spellEnd"/>
      <w:r>
        <w:rPr>
          <w:i/>
          <w:iCs/>
          <w:sz w:val="20"/>
          <w:szCs w:val="20"/>
        </w:rPr>
        <w:t xml:space="preserve">: </w:t>
      </w:r>
      <w:proofErr w:type="spellStart"/>
      <w:r w:rsidRPr="003F022C">
        <w:rPr>
          <w:i/>
          <w:iCs/>
          <w:sz w:val="20"/>
          <w:szCs w:val="20"/>
        </w:rPr>
        <w:t>European</w:t>
      </w:r>
      <w:proofErr w:type="spellEnd"/>
      <w:r w:rsidRPr="003F022C">
        <w:rPr>
          <w:i/>
          <w:iCs/>
          <w:sz w:val="20"/>
          <w:szCs w:val="20"/>
        </w:rPr>
        <w:t xml:space="preserve"> </w:t>
      </w:r>
      <w:proofErr w:type="spellStart"/>
      <w:r w:rsidRPr="003F022C">
        <w:rPr>
          <w:i/>
          <w:iCs/>
          <w:sz w:val="20"/>
          <w:szCs w:val="20"/>
        </w:rPr>
        <w:t>Innovation</w:t>
      </w:r>
      <w:proofErr w:type="spellEnd"/>
      <w:r w:rsidRPr="003F022C">
        <w:rPr>
          <w:i/>
          <w:iCs/>
          <w:sz w:val="20"/>
          <w:szCs w:val="20"/>
        </w:rPr>
        <w:t xml:space="preserve"> </w:t>
      </w:r>
      <w:proofErr w:type="spellStart"/>
      <w:r w:rsidRPr="003F022C">
        <w:rPr>
          <w:i/>
          <w:iCs/>
          <w:sz w:val="20"/>
          <w:szCs w:val="20"/>
        </w:rPr>
        <w:t>Scoreboard</w:t>
      </w:r>
      <w:proofErr w:type="spellEnd"/>
      <w:r w:rsidRPr="003F022C">
        <w:rPr>
          <w:i/>
          <w:iCs/>
          <w:sz w:val="20"/>
          <w:szCs w:val="20"/>
        </w:rPr>
        <w:t xml:space="preserve"> 2024</w:t>
      </w:r>
    </w:p>
    <w:p w14:paraId="2EBBD7FF" w14:textId="77777777" w:rsidR="00CC3135" w:rsidRDefault="00CC3135" w:rsidP="00222D32">
      <w:pPr>
        <w:rPr>
          <w:i/>
          <w:iCs/>
          <w:sz w:val="20"/>
          <w:szCs w:val="20"/>
        </w:rPr>
      </w:pPr>
    </w:p>
    <w:p w14:paraId="758B1A83" w14:textId="26FD19DC" w:rsidR="00E369F5" w:rsidRPr="00E369F5" w:rsidRDefault="00E369F5" w:rsidP="00E369F5">
      <w:pPr>
        <w:spacing w:line="276" w:lineRule="auto"/>
        <w:jc w:val="both"/>
        <w:rPr>
          <w:lang w:val="en-GB"/>
        </w:rPr>
      </w:pPr>
      <w:r w:rsidRPr="00E369F5">
        <w:rPr>
          <w:lang w:val="en-GB"/>
        </w:rPr>
        <w:t>In addition to the EIS, the European Commission also publishes the Regional Innovation Scoreboard (RIS), which compares innovation performance across EU regions. This index does not include regions from non-EU countries (</w:t>
      </w:r>
      <w:r w:rsidR="00436E2E" w:rsidRPr="00E369F5">
        <w:rPr>
          <w:lang w:val="en-GB"/>
        </w:rPr>
        <w:t>except for</w:t>
      </w:r>
      <w:r w:rsidRPr="00E369F5">
        <w:rPr>
          <w:lang w:val="en-GB"/>
        </w:rPr>
        <w:t xml:space="preserve"> Serbia), and therefore data for four countries in the region are missing.</w:t>
      </w:r>
    </w:p>
    <w:p w14:paraId="74850F98" w14:textId="7870719E" w:rsidR="00E369F5" w:rsidRPr="00E369F5" w:rsidRDefault="00E369F5" w:rsidP="00E369F5">
      <w:pPr>
        <w:spacing w:line="276" w:lineRule="auto"/>
        <w:jc w:val="both"/>
        <w:rPr>
          <w:lang w:val="en-GB"/>
        </w:rPr>
      </w:pPr>
      <w:r w:rsidRPr="00E369F5">
        <w:rPr>
          <w:lang w:val="en-GB"/>
        </w:rPr>
        <w:lastRenderedPageBreak/>
        <w:t xml:space="preserve">The chart below presents a comparison of the innovation index relative to the EU average (set at 100). Among the regions in the Danube Region, the highest innovation scores are recorded in four German regions: </w:t>
      </w:r>
      <w:proofErr w:type="spellStart"/>
      <w:r w:rsidRPr="00E369F5">
        <w:rPr>
          <w:lang w:val="en-GB"/>
        </w:rPr>
        <w:t>Oberbayern</w:t>
      </w:r>
      <w:proofErr w:type="spellEnd"/>
      <w:r w:rsidRPr="00E369F5">
        <w:rPr>
          <w:lang w:val="en-GB"/>
        </w:rPr>
        <w:t xml:space="preserve">, Karlsruhe, Tübingen, and </w:t>
      </w:r>
      <w:proofErr w:type="spellStart"/>
      <w:r w:rsidRPr="00E369F5">
        <w:rPr>
          <w:lang w:val="en-GB"/>
        </w:rPr>
        <w:t>Mittelfranken</w:t>
      </w:r>
      <w:proofErr w:type="spellEnd"/>
      <w:r w:rsidRPr="00E369F5">
        <w:rPr>
          <w:lang w:val="en-GB"/>
        </w:rPr>
        <w:t xml:space="preserve">. These are followed by Prague. Outside of Germany and Austria, only five other regions in the Danube Region exceed the EU average—two from Slovenia, two from the Czech Republic, and one from Hungary. Conversely, only one German region falls below the EU average. The least innovative regions </w:t>
      </w:r>
      <w:r w:rsidR="00124DAB" w:rsidRPr="00E369F5">
        <w:rPr>
          <w:lang w:val="en-GB"/>
        </w:rPr>
        <w:t>are in</w:t>
      </w:r>
      <w:r w:rsidRPr="00E369F5">
        <w:rPr>
          <w:lang w:val="en-GB"/>
        </w:rPr>
        <w:t xml:space="preserve"> Romania and Bulgaria.</w:t>
      </w:r>
    </w:p>
    <w:p w14:paraId="6C92709C" w14:textId="0F3BE112" w:rsidR="00E369F5" w:rsidRPr="00E369F5" w:rsidRDefault="00E369F5" w:rsidP="00E369F5">
      <w:pPr>
        <w:spacing w:line="276" w:lineRule="auto"/>
        <w:jc w:val="both"/>
        <w:rPr>
          <w:lang w:val="en-GB"/>
        </w:rPr>
      </w:pPr>
      <w:r w:rsidRPr="00E369F5">
        <w:rPr>
          <w:lang w:val="en-GB"/>
        </w:rPr>
        <w:t xml:space="preserve">At the EU level, the most innovative regions are </w:t>
      </w:r>
      <w:proofErr w:type="spellStart"/>
      <w:r w:rsidRPr="00E369F5">
        <w:rPr>
          <w:lang w:val="en-GB"/>
        </w:rPr>
        <w:t>Hovedstaden</w:t>
      </w:r>
      <w:proofErr w:type="spellEnd"/>
      <w:r w:rsidRPr="00E369F5">
        <w:rPr>
          <w:lang w:val="en-GB"/>
        </w:rPr>
        <w:t xml:space="preserve"> (Denmark), </w:t>
      </w:r>
      <w:proofErr w:type="spellStart"/>
      <w:r w:rsidRPr="00E369F5">
        <w:rPr>
          <w:lang w:val="en-GB"/>
        </w:rPr>
        <w:t>Etelä</w:t>
      </w:r>
      <w:proofErr w:type="spellEnd"/>
      <w:r w:rsidRPr="00E369F5">
        <w:rPr>
          <w:lang w:val="en-GB"/>
        </w:rPr>
        <w:t xml:space="preserve">-Suomi (Finland), and </w:t>
      </w:r>
      <w:proofErr w:type="spellStart"/>
      <w:r w:rsidRPr="00E369F5">
        <w:rPr>
          <w:lang w:val="en-GB"/>
        </w:rPr>
        <w:t>Oberbayern</w:t>
      </w:r>
      <w:proofErr w:type="spellEnd"/>
      <w:r w:rsidRPr="00E369F5">
        <w:rPr>
          <w:lang w:val="en-GB"/>
        </w:rPr>
        <w:t xml:space="preserve"> (Germany), which ranks third.</w:t>
      </w:r>
    </w:p>
    <w:p w14:paraId="34C61DFD" w14:textId="2A7DA4D3" w:rsidR="00FC2F8A" w:rsidRDefault="00FC2F8A" w:rsidP="00AA2286">
      <w:pPr>
        <w:jc w:val="both"/>
        <w:rPr>
          <w:i/>
          <w:iCs/>
          <w:sz w:val="20"/>
          <w:szCs w:val="20"/>
        </w:rPr>
        <w:sectPr w:rsidR="00FC2F8A">
          <w:pgSz w:w="11906" w:h="16838"/>
          <w:pgMar w:top="1417" w:right="1417" w:bottom="1417" w:left="1417" w:header="708" w:footer="708" w:gutter="0"/>
          <w:cols w:space="708"/>
          <w:docGrid w:linePitch="360"/>
        </w:sectPr>
      </w:pPr>
    </w:p>
    <w:p w14:paraId="169E1888" w14:textId="26EE1AA7" w:rsidR="00685A75" w:rsidRPr="00685A75" w:rsidRDefault="00685A75" w:rsidP="00685A75">
      <w:pPr>
        <w:pStyle w:val="Popis"/>
        <w:keepNext/>
        <w:rPr>
          <w:b/>
          <w:bCs/>
          <w:i w:val="0"/>
          <w:iCs w:val="0"/>
          <w:color w:val="auto"/>
          <w:sz w:val="20"/>
          <w:szCs w:val="20"/>
        </w:rPr>
      </w:pPr>
      <w:bookmarkStart w:id="14" w:name="_Toc202166633"/>
      <w:proofErr w:type="spellStart"/>
      <w:r w:rsidRPr="00685A75">
        <w:rPr>
          <w:b/>
          <w:bCs/>
          <w:i w:val="0"/>
          <w:iCs w:val="0"/>
          <w:color w:val="auto"/>
          <w:sz w:val="20"/>
          <w:szCs w:val="20"/>
        </w:rPr>
        <w:lastRenderedPageBreak/>
        <w:t>Graph</w:t>
      </w:r>
      <w:proofErr w:type="spellEnd"/>
      <w:r w:rsidRPr="00685A75">
        <w:rPr>
          <w:b/>
          <w:bCs/>
          <w:i w:val="0"/>
          <w:iCs w:val="0"/>
          <w:color w:val="auto"/>
          <w:sz w:val="20"/>
          <w:szCs w:val="20"/>
        </w:rPr>
        <w:t xml:space="preserve">  </w:t>
      </w:r>
      <w:r w:rsidRPr="00685A75">
        <w:rPr>
          <w:b/>
          <w:bCs/>
          <w:i w:val="0"/>
          <w:iCs w:val="0"/>
          <w:color w:val="auto"/>
          <w:sz w:val="20"/>
          <w:szCs w:val="20"/>
        </w:rPr>
        <w:fldChar w:fldCharType="begin"/>
      </w:r>
      <w:r w:rsidRPr="00685A75">
        <w:rPr>
          <w:b/>
          <w:bCs/>
          <w:i w:val="0"/>
          <w:iCs w:val="0"/>
          <w:color w:val="auto"/>
          <w:sz w:val="20"/>
          <w:szCs w:val="20"/>
        </w:rPr>
        <w:instrText xml:space="preserve"> SEQ Graph_ \* ARABIC </w:instrText>
      </w:r>
      <w:r w:rsidRPr="00685A75">
        <w:rPr>
          <w:b/>
          <w:bCs/>
          <w:i w:val="0"/>
          <w:iCs w:val="0"/>
          <w:color w:val="auto"/>
          <w:sz w:val="20"/>
          <w:szCs w:val="20"/>
        </w:rPr>
        <w:fldChar w:fldCharType="separate"/>
      </w:r>
      <w:r w:rsidR="00FE761C">
        <w:rPr>
          <w:b/>
          <w:bCs/>
          <w:i w:val="0"/>
          <w:iCs w:val="0"/>
          <w:noProof/>
          <w:color w:val="auto"/>
          <w:sz w:val="20"/>
          <w:szCs w:val="20"/>
        </w:rPr>
        <w:t>3</w:t>
      </w:r>
      <w:r w:rsidRPr="00685A75">
        <w:rPr>
          <w:b/>
          <w:bCs/>
          <w:i w:val="0"/>
          <w:iCs w:val="0"/>
          <w:color w:val="auto"/>
          <w:sz w:val="20"/>
          <w:szCs w:val="20"/>
        </w:rPr>
        <w:fldChar w:fldCharType="end"/>
      </w:r>
      <w:r w:rsidRPr="00685A75">
        <w:rPr>
          <w:b/>
          <w:bCs/>
          <w:i w:val="0"/>
          <w:iCs w:val="0"/>
          <w:color w:val="auto"/>
          <w:sz w:val="20"/>
          <w:szCs w:val="20"/>
        </w:rPr>
        <w:t xml:space="preserve"> </w:t>
      </w:r>
      <w:proofErr w:type="spellStart"/>
      <w:r w:rsidRPr="00685A75">
        <w:rPr>
          <w:b/>
          <w:bCs/>
          <w:i w:val="0"/>
          <w:iCs w:val="0"/>
          <w:color w:val="auto"/>
          <w:sz w:val="20"/>
          <w:szCs w:val="20"/>
        </w:rPr>
        <w:t>Regional</w:t>
      </w:r>
      <w:proofErr w:type="spellEnd"/>
      <w:r w:rsidRPr="00685A75">
        <w:rPr>
          <w:b/>
          <w:bCs/>
          <w:i w:val="0"/>
          <w:iCs w:val="0"/>
          <w:color w:val="auto"/>
          <w:sz w:val="20"/>
          <w:szCs w:val="20"/>
        </w:rPr>
        <w:t xml:space="preserve"> </w:t>
      </w:r>
      <w:proofErr w:type="spellStart"/>
      <w:r w:rsidRPr="00685A75">
        <w:rPr>
          <w:b/>
          <w:bCs/>
          <w:i w:val="0"/>
          <w:iCs w:val="0"/>
          <w:color w:val="auto"/>
          <w:sz w:val="20"/>
          <w:szCs w:val="20"/>
        </w:rPr>
        <w:t>Innovation</w:t>
      </w:r>
      <w:proofErr w:type="spellEnd"/>
      <w:r w:rsidRPr="00685A75">
        <w:rPr>
          <w:b/>
          <w:bCs/>
          <w:i w:val="0"/>
          <w:iCs w:val="0"/>
          <w:color w:val="auto"/>
          <w:sz w:val="20"/>
          <w:szCs w:val="20"/>
        </w:rPr>
        <w:t xml:space="preserve"> </w:t>
      </w:r>
      <w:proofErr w:type="spellStart"/>
      <w:r w:rsidRPr="00685A75">
        <w:rPr>
          <w:b/>
          <w:bCs/>
          <w:i w:val="0"/>
          <w:iCs w:val="0"/>
          <w:color w:val="auto"/>
          <w:sz w:val="20"/>
          <w:szCs w:val="20"/>
        </w:rPr>
        <w:t>Scoreboard</w:t>
      </w:r>
      <w:proofErr w:type="spellEnd"/>
      <w:r w:rsidRPr="00685A75">
        <w:rPr>
          <w:b/>
          <w:bCs/>
          <w:i w:val="0"/>
          <w:iCs w:val="0"/>
          <w:color w:val="auto"/>
          <w:sz w:val="20"/>
          <w:szCs w:val="20"/>
        </w:rPr>
        <w:t xml:space="preserve"> - </w:t>
      </w:r>
      <w:proofErr w:type="spellStart"/>
      <w:r w:rsidRPr="00685A75">
        <w:rPr>
          <w:b/>
          <w:bCs/>
          <w:i w:val="0"/>
          <w:iCs w:val="0"/>
          <w:color w:val="auto"/>
          <w:sz w:val="20"/>
          <w:szCs w:val="20"/>
        </w:rPr>
        <w:t>Innovation</w:t>
      </w:r>
      <w:proofErr w:type="spellEnd"/>
      <w:r w:rsidRPr="00685A75">
        <w:rPr>
          <w:b/>
          <w:bCs/>
          <w:i w:val="0"/>
          <w:iCs w:val="0"/>
          <w:color w:val="auto"/>
          <w:sz w:val="20"/>
          <w:szCs w:val="20"/>
        </w:rPr>
        <w:t xml:space="preserve"> Index</w:t>
      </w:r>
      <w:bookmarkEnd w:id="14"/>
    </w:p>
    <w:p w14:paraId="0F09C2E1" w14:textId="03F8A54E" w:rsidR="00FC2F8A" w:rsidRDefault="00FC2F8A" w:rsidP="00ED5DF7">
      <w:pPr>
        <w:spacing w:after="0"/>
        <w:rPr>
          <w:i/>
          <w:iCs/>
          <w:sz w:val="20"/>
          <w:szCs w:val="20"/>
        </w:rPr>
      </w:pPr>
      <w:r>
        <w:rPr>
          <w:noProof/>
          <w14:ligatures w14:val="standardContextual"/>
        </w:rPr>
        <w:drawing>
          <wp:inline distT="0" distB="0" distL="0" distR="0" wp14:anchorId="0FF0C6B3" wp14:editId="1ECE55AA">
            <wp:extent cx="9016780" cy="5039995"/>
            <wp:effectExtent l="0" t="0" r="13335" b="8255"/>
            <wp:docPr id="231061075" name="Graf 1">
              <a:extLst xmlns:a="http://schemas.openxmlformats.org/drawingml/2006/main">
                <a:ext uri="{FF2B5EF4-FFF2-40B4-BE49-F238E27FC236}">
                  <a16:creationId xmlns:a16="http://schemas.microsoft.com/office/drawing/2014/main" id="{E9C2D26D-0EEA-4935-B287-852D9436F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85D961" w14:textId="77777777" w:rsidR="00ED5DF7" w:rsidRDefault="00ED5DF7" w:rsidP="00ED5DF7">
      <w:pPr>
        <w:spacing w:after="0"/>
        <w:jc w:val="right"/>
        <w:rPr>
          <w:i/>
          <w:iCs/>
          <w:sz w:val="20"/>
          <w:szCs w:val="20"/>
        </w:rPr>
      </w:pPr>
      <w:proofErr w:type="spellStart"/>
      <w:r>
        <w:rPr>
          <w:i/>
          <w:iCs/>
          <w:sz w:val="20"/>
          <w:szCs w:val="20"/>
        </w:rPr>
        <w:t>Source</w:t>
      </w:r>
      <w:proofErr w:type="spellEnd"/>
      <w:r>
        <w:rPr>
          <w:i/>
          <w:iCs/>
          <w:sz w:val="20"/>
          <w:szCs w:val="20"/>
        </w:rPr>
        <w:t xml:space="preserve">: </w:t>
      </w:r>
      <w:proofErr w:type="spellStart"/>
      <w:r w:rsidRPr="003F022C">
        <w:rPr>
          <w:i/>
          <w:iCs/>
          <w:sz w:val="20"/>
          <w:szCs w:val="20"/>
        </w:rPr>
        <w:t>European</w:t>
      </w:r>
      <w:proofErr w:type="spellEnd"/>
      <w:r w:rsidRPr="003F022C">
        <w:rPr>
          <w:i/>
          <w:iCs/>
          <w:sz w:val="20"/>
          <w:szCs w:val="20"/>
        </w:rPr>
        <w:t xml:space="preserve"> </w:t>
      </w:r>
      <w:proofErr w:type="spellStart"/>
      <w:r w:rsidRPr="003F022C">
        <w:rPr>
          <w:i/>
          <w:iCs/>
          <w:sz w:val="20"/>
          <w:szCs w:val="20"/>
        </w:rPr>
        <w:t>Innovation</w:t>
      </w:r>
      <w:proofErr w:type="spellEnd"/>
      <w:r w:rsidRPr="003F022C">
        <w:rPr>
          <w:i/>
          <w:iCs/>
          <w:sz w:val="20"/>
          <w:szCs w:val="20"/>
        </w:rPr>
        <w:t xml:space="preserve"> </w:t>
      </w:r>
      <w:proofErr w:type="spellStart"/>
      <w:r w:rsidRPr="003F022C">
        <w:rPr>
          <w:i/>
          <w:iCs/>
          <w:sz w:val="20"/>
          <w:szCs w:val="20"/>
        </w:rPr>
        <w:t>Scoreboard</w:t>
      </w:r>
      <w:proofErr w:type="spellEnd"/>
      <w:r w:rsidRPr="003F022C">
        <w:rPr>
          <w:i/>
          <w:iCs/>
          <w:sz w:val="20"/>
          <w:szCs w:val="20"/>
        </w:rPr>
        <w:t xml:space="preserve"> 2024</w:t>
      </w:r>
    </w:p>
    <w:p w14:paraId="1C0E4DC0" w14:textId="77777777" w:rsidR="00ED5DF7" w:rsidRDefault="00ED5DF7" w:rsidP="00222D32">
      <w:pPr>
        <w:rPr>
          <w:i/>
          <w:iCs/>
          <w:sz w:val="20"/>
          <w:szCs w:val="20"/>
        </w:rPr>
        <w:sectPr w:rsidR="00ED5DF7" w:rsidSect="00FC2F8A">
          <w:pgSz w:w="16838" w:h="11906" w:orient="landscape"/>
          <w:pgMar w:top="1418" w:right="1418" w:bottom="1418" w:left="1418" w:header="709" w:footer="709" w:gutter="0"/>
          <w:cols w:space="708"/>
          <w:docGrid w:linePitch="360"/>
        </w:sectPr>
      </w:pPr>
    </w:p>
    <w:p w14:paraId="7BC30553" w14:textId="4EE8870B" w:rsidR="00615E4F" w:rsidRDefault="00615E4F" w:rsidP="001D3F89">
      <w:pPr>
        <w:pStyle w:val="Nadpis2"/>
        <w:numPr>
          <w:ilvl w:val="1"/>
          <w:numId w:val="1"/>
        </w:numPr>
        <w:spacing w:after="120"/>
        <w:rPr>
          <w:b/>
          <w:bCs/>
          <w:sz w:val="24"/>
          <w:szCs w:val="24"/>
          <w:lang w:val="en-GB"/>
        </w:rPr>
      </w:pPr>
      <w:bookmarkStart w:id="15" w:name="_Toc107413807"/>
      <w:bookmarkStart w:id="16" w:name="_Toc202166683"/>
      <w:r w:rsidRPr="001D3F89">
        <w:rPr>
          <w:b/>
          <w:bCs/>
          <w:sz w:val="24"/>
          <w:szCs w:val="24"/>
          <w:lang w:val="en-GB"/>
        </w:rPr>
        <w:lastRenderedPageBreak/>
        <w:t>Investments to research and innovation</w:t>
      </w:r>
      <w:bookmarkEnd w:id="15"/>
      <w:bookmarkEnd w:id="16"/>
    </w:p>
    <w:p w14:paraId="2E4BC8A8" w14:textId="77777777" w:rsidR="00A03A33" w:rsidRDefault="00A03A33" w:rsidP="0057276D">
      <w:pPr>
        <w:jc w:val="both"/>
        <w:rPr>
          <w:lang w:val="en-GB"/>
        </w:rPr>
      </w:pPr>
    </w:p>
    <w:p w14:paraId="786B69B8" w14:textId="604622D9" w:rsidR="00095390" w:rsidRDefault="00A03A33" w:rsidP="006101DB">
      <w:pPr>
        <w:spacing w:line="276" w:lineRule="auto"/>
        <w:jc w:val="both"/>
        <w:rPr>
          <w:lang w:val="en-GB"/>
        </w:rPr>
      </w:pPr>
      <w:r w:rsidRPr="00A03A33">
        <w:rPr>
          <w:lang w:val="en-GB"/>
        </w:rPr>
        <w:t xml:space="preserve">Within the Danube Region, there are significant disparities in investments in research and innovation. While Baden-Württemberg reached as much as 5.59% of GDP in 2021, Bosnia and Herzegovina invested only 0.19%. As with other indicators, Austria and Germany lead in R&amp;I investments, being the only countries in the region that invest more than 3% of their GDP. They are followed by Slovenia (2.13%), and then by countries investing between 1% and 2% of GDP. Less than 1% is invested by Serbia, Bulgaria, Romania, Moldova, Montenegro, Ukraine, and </w:t>
      </w:r>
      <w:r w:rsidR="006101DB" w:rsidRPr="00A03A33">
        <w:rPr>
          <w:lang w:val="en-GB"/>
        </w:rPr>
        <w:t>Bosnia and Herzegovina</w:t>
      </w:r>
      <w:r w:rsidRPr="00A03A33">
        <w:rPr>
          <w:lang w:val="en-GB"/>
        </w:rPr>
        <w:t>.</w:t>
      </w:r>
    </w:p>
    <w:p w14:paraId="0EA3CC93" w14:textId="1196DA5F" w:rsidR="002C6118" w:rsidRPr="00563B86" w:rsidRDefault="002C6118" w:rsidP="00D0207F">
      <w:pPr>
        <w:pStyle w:val="Popis"/>
        <w:keepNext/>
        <w:spacing w:after="120"/>
        <w:rPr>
          <w:b/>
          <w:bCs/>
          <w:i w:val="0"/>
          <w:iCs w:val="0"/>
          <w:color w:val="auto"/>
          <w:sz w:val="20"/>
          <w:szCs w:val="20"/>
        </w:rPr>
      </w:pPr>
      <w:bookmarkStart w:id="17" w:name="_Toc202166634"/>
      <w:proofErr w:type="spellStart"/>
      <w:r w:rsidRPr="00563B86">
        <w:rPr>
          <w:b/>
          <w:bCs/>
          <w:i w:val="0"/>
          <w:iCs w:val="0"/>
          <w:color w:val="auto"/>
          <w:sz w:val="20"/>
          <w:szCs w:val="20"/>
        </w:rPr>
        <w:t>Graph</w:t>
      </w:r>
      <w:proofErr w:type="spellEnd"/>
      <w:r w:rsidRPr="00563B86">
        <w:rPr>
          <w:b/>
          <w:bCs/>
          <w:i w:val="0"/>
          <w:iCs w:val="0"/>
          <w:color w:val="auto"/>
          <w:sz w:val="20"/>
          <w:szCs w:val="20"/>
        </w:rPr>
        <w:t xml:space="preserve">  </w:t>
      </w:r>
      <w:r w:rsidRPr="00563B86">
        <w:rPr>
          <w:b/>
          <w:bCs/>
          <w:i w:val="0"/>
          <w:iCs w:val="0"/>
          <w:color w:val="auto"/>
          <w:sz w:val="20"/>
          <w:szCs w:val="20"/>
        </w:rPr>
        <w:fldChar w:fldCharType="begin"/>
      </w:r>
      <w:r w:rsidRPr="00563B86">
        <w:rPr>
          <w:b/>
          <w:bCs/>
          <w:i w:val="0"/>
          <w:iCs w:val="0"/>
          <w:color w:val="auto"/>
          <w:sz w:val="20"/>
          <w:szCs w:val="20"/>
        </w:rPr>
        <w:instrText xml:space="preserve"> SEQ Graph_ \* ARABIC </w:instrText>
      </w:r>
      <w:r w:rsidRPr="00563B86">
        <w:rPr>
          <w:b/>
          <w:bCs/>
          <w:i w:val="0"/>
          <w:iCs w:val="0"/>
          <w:color w:val="auto"/>
          <w:sz w:val="20"/>
          <w:szCs w:val="20"/>
        </w:rPr>
        <w:fldChar w:fldCharType="separate"/>
      </w:r>
      <w:r w:rsidR="00FE761C">
        <w:rPr>
          <w:b/>
          <w:bCs/>
          <w:i w:val="0"/>
          <w:iCs w:val="0"/>
          <w:noProof/>
          <w:color w:val="auto"/>
          <w:sz w:val="20"/>
          <w:szCs w:val="20"/>
        </w:rPr>
        <w:t>4</w:t>
      </w:r>
      <w:r w:rsidRPr="00563B86">
        <w:rPr>
          <w:b/>
          <w:bCs/>
          <w:i w:val="0"/>
          <w:iCs w:val="0"/>
          <w:color w:val="auto"/>
          <w:sz w:val="20"/>
          <w:szCs w:val="20"/>
        </w:rPr>
        <w:fldChar w:fldCharType="end"/>
      </w:r>
      <w:r w:rsidRPr="00563B86">
        <w:rPr>
          <w:b/>
          <w:bCs/>
          <w:i w:val="0"/>
          <w:iCs w:val="0"/>
          <w:color w:val="auto"/>
          <w:sz w:val="20"/>
          <w:szCs w:val="20"/>
        </w:rPr>
        <w:t xml:space="preserve"> R&amp;D </w:t>
      </w:r>
      <w:proofErr w:type="spellStart"/>
      <w:r w:rsidRPr="00563B86">
        <w:rPr>
          <w:b/>
          <w:bCs/>
          <w:i w:val="0"/>
          <w:iCs w:val="0"/>
          <w:color w:val="auto"/>
          <w:sz w:val="20"/>
          <w:szCs w:val="20"/>
        </w:rPr>
        <w:t>investments</w:t>
      </w:r>
      <w:proofErr w:type="spellEnd"/>
      <w:r w:rsidRPr="00563B86">
        <w:rPr>
          <w:b/>
          <w:bCs/>
          <w:i w:val="0"/>
          <w:iCs w:val="0"/>
          <w:color w:val="auto"/>
          <w:sz w:val="20"/>
          <w:szCs w:val="20"/>
        </w:rPr>
        <w:t xml:space="preserve"> (%GDP)</w:t>
      </w:r>
      <w:bookmarkEnd w:id="17"/>
    </w:p>
    <w:p w14:paraId="01F1ED64" w14:textId="3D928222" w:rsidR="00731CC5" w:rsidRPr="00095390" w:rsidRDefault="00731CC5" w:rsidP="00D0207F">
      <w:pPr>
        <w:spacing w:after="0"/>
        <w:rPr>
          <w:lang w:val="en-GB"/>
        </w:rPr>
      </w:pPr>
      <w:r>
        <w:rPr>
          <w:noProof/>
          <w14:ligatures w14:val="standardContextual"/>
        </w:rPr>
        <w:drawing>
          <wp:inline distT="0" distB="0" distL="0" distR="0" wp14:anchorId="38972E84" wp14:editId="6CB90F81">
            <wp:extent cx="5759450" cy="2880000"/>
            <wp:effectExtent l="0" t="0" r="12700" b="15875"/>
            <wp:docPr id="1603842922" name="Graf 1">
              <a:extLst xmlns:a="http://schemas.openxmlformats.org/drawingml/2006/main">
                <a:ext uri="{FF2B5EF4-FFF2-40B4-BE49-F238E27FC236}">
                  <a16:creationId xmlns:a16="http://schemas.microsoft.com/office/drawing/2014/main" id="{5C13F6F5-C5E9-45EC-85B7-99D154A19F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CF674B" w14:textId="176507A4" w:rsidR="007A1AC7" w:rsidRPr="007A1AC7" w:rsidRDefault="009F0F19" w:rsidP="00A57626">
      <w:pPr>
        <w:spacing w:after="0"/>
        <w:jc w:val="right"/>
        <w:rPr>
          <w:i/>
          <w:iCs/>
          <w:sz w:val="20"/>
          <w:szCs w:val="20"/>
        </w:rPr>
      </w:pPr>
      <w:proofErr w:type="spellStart"/>
      <w:r>
        <w:rPr>
          <w:i/>
          <w:iCs/>
          <w:sz w:val="20"/>
          <w:szCs w:val="20"/>
        </w:rPr>
        <w:t>Data</w:t>
      </w:r>
      <w:proofErr w:type="spellEnd"/>
      <w:r w:rsidR="007A1AC7">
        <w:rPr>
          <w:i/>
          <w:iCs/>
          <w:sz w:val="20"/>
          <w:szCs w:val="20"/>
        </w:rPr>
        <w:t xml:space="preserve">: </w:t>
      </w:r>
      <w:r w:rsidR="007A1AC7" w:rsidRPr="007A1AC7">
        <w:rPr>
          <w:i/>
          <w:iCs/>
          <w:sz w:val="20"/>
          <w:szCs w:val="20"/>
        </w:rPr>
        <w:t xml:space="preserve">GERD by </w:t>
      </w:r>
      <w:proofErr w:type="spellStart"/>
      <w:r w:rsidR="007A1AC7" w:rsidRPr="007A1AC7">
        <w:rPr>
          <w:i/>
          <w:iCs/>
          <w:sz w:val="20"/>
          <w:szCs w:val="20"/>
        </w:rPr>
        <w:t>sector</w:t>
      </w:r>
      <w:proofErr w:type="spellEnd"/>
      <w:r w:rsidR="007A1AC7" w:rsidRPr="007A1AC7">
        <w:rPr>
          <w:i/>
          <w:iCs/>
          <w:sz w:val="20"/>
          <w:szCs w:val="20"/>
        </w:rPr>
        <w:t xml:space="preserve"> of </w:t>
      </w:r>
      <w:proofErr w:type="spellStart"/>
      <w:r w:rsidR="007A1AC7" w:rsidRPr="007A1AC7">
        <w:rPr>
          <w:i/>
          <w:iCs/>
          <w:sz w:val="20"/>
          <w:szCs w:val="20"/>
        </w:rPr>
        <w:t>performance</w:t>
      </w:r>
      <w:proofErr w:type="spellEnd"/>
      <w:r w:rsidR="007A1AC7" w:rsidRPr="007A1AC7">
        <w:rPr>
          <w:i/>
          <w:iCs/>
          <w:sz w:val="20"/>
          <w:szCs w:val="20"/>
        </w:rPr>
        <w:t xml:space="preserve"> [rd_e_gerdtot__custom_15359980]</w:t>
      </w:r>
      <w:r w:rsidR="007A1AC7">
        <w:rPr>
          <w:i/>
          <w:iCs/>
          <w:sz w:val="20"/>
          <w:szCs w:val="20"/>
        </w:rPr>
        <w:t xml:space="preserve">; </w:t>
      </w:r>
      <w:r w:rsidR="007A1AC7" w:rsidRPr="007A1AC7">
        <w:rPr>
          <w:i/>
          <w:iCs/>
          <w:sz w:val="20"/>
          <w:szCs w:val="20"/>
        </w:rPr>
        <w:t>UNESCO</w:t>
      </w:r>
      <w:r w:rsidR="007A1AC7">
        <w:rPr>
          <w:i/>
          <w:iCs/>
          <w:sz w:val="20"/>
          <w:szCs w:val="20"/>
        </w:rPr>
        <w:t xml:space="preserve">; </w:t>
      </w:r>
      <w:proofErr w:type="spellStart"/>
      <w:r w:rsidR="007A1AC7" w:rsidRPr="007A1AC7">
        <w:rPr>
          <w:i/>
          <w:iCs/>
          <w:sz w:val="20"/>
          <w:szCs w:val="20"/>
        </w:rPr>
        <w:t>World</w:t>
      </w:r>
      <w:proofErr w:type="spellEnd"/>
      <w:r w:rsidR="007A1AC7" w:rsidRPr="007A1AC7">
        <w:rPr>
          <w:i/>
          <w:iCs/>
          <w:sz w:val="20"/>
          <w:szCs w:val="20"/>
        </w:rPr>
        <w:t xml:space="preserve"> Bank</w:t>
      </w:r>
    </w:p>
    <w:p w14:paraId="4D54A4E9" w14:textId="15B670C1" w:rsidR="00FC2F8A" w:rsidRDefault="00D0207F" w:rsidP="00A57626">
      <w:pPr>
        <w:jc w:val="right"/>
        <w:rPr>
          <w:i/>
          <w:iCs/>
          <w:sz w:val="20"/>
          <w:szCs w:val="20"/>
        </w:rPr>
      </w:pPr>
      <w:r>
        <w:rPr>
          <w:i/>
          <w:iCs/>
          <w:sz w:val="20"/>
          <w:szCs w:val="20"/>
        </w:rPr>
        <w:t xml:space="preserve">Note: </w:t>
      </w:r>
      <w:r w:rsidR="007A1AC7" w:rsidRPr="007A1AC7">
        <w:rPr>
          <w:i/>
          <w:iCs/>
          <w:sz w:val="20"/>
          <w:szCs w:val="20"/>
        </w:rPr>
        <w:t>BW, BAV (2011, 2021); BA(2009,2022); ME (2011, 2019); MD (2022)</w:t>
      </w:r>
    </w:p>
    <w:p w14:paraId="258D0287" w14:textId="77777777" w:rsidR="00FC2F8A" w:rsidRDefault="00FC2F8A" w:rsidP="00222D32">
      <w:pPr>
        <w:rPr>
          <w:i/>
          <w:iCs/>
          <w:sz w:val="20"/>
          <w:szCs w:val="20"/>
        </w:rPr>
      </w:pPr>
    </w:p>
    <w:p w14:paraId="3ACC4628" w14:textId="77777777" w:rsidR="00C968F6" w:rsidRPr="00C968F6" w:rsidRDefault="00C968F6" w:rsidP="006101DB">
      <w:pPr>
        <w:spacing w:line="276" w:lineRule="auto"/>
        <w:jc w:val="both"/>
        <w:rPr>
          <w:lang w:val="en-GB"/>
        </w:rPr>
      </w:pPr>
      <w:r w:rsidRPr="00C968F6">
        <w:rPr>
          <w:lang w:val="en-GB"/>
        </w:rPr>
        <w:t>In 2023, total investments in research and innovation in the Danube Region amounted to €161.5 billion. In terms of absolute funding, Germany clearly dominates, accounting for as much as 80% of these investments. Altogether, Germany invested nearly €130 billion. It is followed by Austria (€15.58 billion) and the Czech Republic (€5.82 billion). Both German regions also invest significantly more than other countries in the Danube Region—Bavaria (€22.5 billion) and Baden-Württemberg (€30.35 billion).</w:t>
      </w:r>
    </w:p>
    <w:p w14:paraId="684073FC" w14:textId="5D6B5A50" w:rsidR="00543615" w:rsidRPr="00C968F6" w:rsidRDefault="00C968F6" w:rsidP="006101DB">
      <w:pPr>
        <w:spacing w:line="276" w:lineRule="auto"/>
        <w:jc w:val="both"/>
        <w:rPr>
          <w:lang w:val="en-GB"/>
        </w:rPr>
      </w:pPr>
      <w:r w:rsidRPr="00C968F6">
        <w:rPr>
          <w:lang w:val="en-GB"/>
        </w:rPr>
        <w:t>On the other end of the spectrum, the lowest levels of investment were recorded in Montenegro (€17.98 million), Moldova (€34.28 million), and Bosnia and Herzegovina (€43.1 million). The absolute disparities in R&amp;I investments across the Danube Region are so substantial that, if Germany were excluded, Austria’s share would rise to 49% of the region’s total investments.</w:t>
      </w:r>
    </w:p>
    <w:p w14:paraId="52C0E97B" w14:textId="77777777" w:rsidR="00FC2F8A" w:rsidRDefault="00FC2F8A" w:rsidP="00222D32">
      <w:pPr>
        <w:rPr>
          <w:i/>
          <w:iCs/>
          <w:sz w:val="20"/>
          <w:szCs w:val="20"/>
        </w:rPr>
      </w:pPr>
    </w:p>
    <w:p w14:paraId="1EDC4049" w14:textId="7CAE7E38" w:rsidR="00223BBF" w:rsidRDefault="00223BBF" w:rsidP="00745158">
      <w:pPr>
        <w:pStyle w:val="Popis"/>
        <w:keepNext/>
        <w:spacing w:after="120"/>
        <w:rPr>
          <w:b/>
          <w:bCs/>
          <w:i w:val="0"/>
          <w:iCs w:val="0"/>
          <w:color w:val="auto"/>
          <w:sz w:val="20"/>
          <w:szCs w:val="20"/>
        </w:rPr>
      </w:pPr>
      <w:bookmarkStart w:id="18" w:name="_Toc202166635"/>
      <w:proofErr w:type="spellStart"/>
      <w:r w:rsidRPr="00223BBF">
        <w:rPr>
          <w:b/>
          <w:bCs/>
          <w:i w:val="0"/>
          <w:iCs w:val="0"/>
          <w:color w:val="auto"/>
          <w:sz w:val="20"/>
          <w:szCs w:val="20"/>
        </w:rPr>
        <w:lastRenderedPageBreak/>
        <w:t>Graph</w:t>
      </w:r>
      <w:proofErr w:type="spellEnd"/>
      <w:r w:rsidRPr="00223BBF">
        <w:rPr>
          <w:b/>
          <w:bCs/>
          <w:i w:val="0"/>
          <w:iCs w:val="0"/>
          <w:color w:val="auto"/>
          <w:sz w:val="20"/>
          <w:szCs w:val="20"/>
        </w:rPr>
        <w:t xml:space="preserve">  </w:t>
      </w:r>
      <w:r w:rsidRPr="00223BBF">
        <w:rPr>
          <w:b/>
          <w:bCs/>
          <w:i w:val="0"/>
          <w:iCs w:val="0"/>
          <w:color w:val="auto"/>
          <w:sz w:val="20"/>
          <w:szCs w:val="20"/>
        </w:rPr>
        <w:fldChar w:fldCharType="begin"/>
      </w:r>
      <w:r w:rsidRPr="00223BBF">
        <w:rPr>
          <w:b/>
          <w:bCs/>
          <w:i w:val="0"/>
          <w:iCs w:val="0"/>
          <w:color w:val="auto"/>
          <w:sz w:val="20"/>
          <w:szCs w:val="20"/>
        </w:rPr>
        <w:instrText xml:space="preserve"> SEQ Graph_ \* ARABIC </w:instrText>
      </w:r>
      <w:r w:rsidRPr="00223BBF">
        <w:rPr>
          <w:b/>
          <w:bCs/>
          <w:i w:val="0"/>
          <w:iCs w:val="0"/>
          <w:color w:val="auto"/>
          <w:sz w:val="20"/>
          <w:szCs w:val="20"/>
        </w:rPr>
        <w:fldChar w:fldCharType="separate"/>
      </w:r>
      <w:r w:rsidR="00FE761C">
        <w:rPr>
          <w:b/>
          <w:bCs/>
          <w:i w:val="0"/>
          <w:iCs w:val="0"/>
          <w:noProof/>
          <w:color w:val="auto"/>
          <w:sz w:val="20"/>
          <w:szCs w:val="20"/>
        </w:rPr>
        <w:t>5</w:t>
      </w:r>
      <w:r w:rsidRPr="00223BBF">
        <w:rPr>
          <w:b/>
          <w:bCs/>
          <w:i w:val="0"/>
          <w:iCs w:val="0"/>
          <w:color w:val="auto"/>
          <w:sz w:val="20"/>
          <w:szCs w:val="20"/>
        </w:rPr>
        <w:fldChar w:fldCharType="end"/>
      </w:r>
      <w:r w:rsidRPr="00223BBF">
        <w:rPr>
          <w:b/>
          <w:bCs/>
          <w:i w:val="0"/>
          <w:iCs w:val="0"/>
          <w:color w:val="auto"/>
          <w:sz w:val="20"/>
          <w:szCs w:val="20"/>
        </w:rPr>
        <w:t xml:space="preserve"> R&amp;D </w:t>
      </w:r>
      <w:proofErr w:type="spellStart"/>
      <w:r w:rsidRPr="00223BBF">
        <w:rPr>
          <w:b/>
          <w:bCs/>
          <w:i w:val="0"/>
          <w:iCs w:val="0"/>
          <w:color w:val="auto"/>
          <w:sz w:val="20"/>
          <w:szCs w:val="20"/>
        </w:rPr>
        <w:t>investments</w:t>
      </w:r>
      <w:proofErr w:type="spellEnd"/>
      <w:r w:rsidRPr="00223BBF">
        <w:rPr>
          <w:b/>
          <w:bCs/>
          <w:i w:val="0"/>
          <w:iCs w:val="0"/>
          <w:color w:val="auto"/>
          <w:sz w:val="20"/>
          <w:szCs w:val="20"/>
        </w:rPr>
        <w:t xml:space="preserve"> (mil. €)</w:t>
      </w:r>
      <w:bookmarkEnd w:id="18"/>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535"/>
        <w:gridCol w:w="4535"/>
      </w:tblGrid>
      <w:tr w:rsidR="00A242AF" w14:paraId="469988B2" w14:textId="77777777" w:rsidTr="00A242AF">
        <w:tc>
          <w:tcPr>
            <w:tcW w:w="4530" w:type="dxa"/>
          </w:tcPr>
          <w:p w14:paraId="2C4CCA91" w14:textId="7E55899F" w:rsidR="00A242AF" w:rsidRDefault="00A242AF" w:rsidP="00A242AF">
            <w:r>
              <w:rPr>
                <w:noProof/>
                <w14:ligatures w14:val="standardContextual"/>
              </w:rPr>
              <w:drawing>
                <wp:inline distT="0" distB="0" distL="0" distR="0" wp14:anchorId="328D9E0F" wp14:editId="41761944">
                  <wp:extent cx="2880000" cy="2880000"/>
                  <wp:effectExtent l="0" t="0" r="15875" b="15875"/>
                  <wp:docPr id="461154572" name="Graf 1">
                    <a:extLst xmlns:a="http://schemas.openxmlformats.org/drawingml/2006/main">
                      <a:ext uri="{FF2B5EF4-FFF2-40B4-BE49-F238E27FC236}">
                        <a16:creationId xmlns:a16="http://schemas.microsoft.com/office/drawing/2014/main" id="{1387016D-AB4E-0331-97D3-459896F9E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530" w:type="dxa"/>
          </w:tcPr>
          <w:p w14:paraId="1903ECA1" w14:textId="427ACC5C" w:rsidR="00A242AF" w:rsidRDefault="00A242AF" w:rsidP="00A242AF">
            <w:r>
              <w:rPr>
                <w:noProof/>
                <w14:ligatures w14:val="standardContextual"/>
              </w:rPr>
              <w:drawing>
                <wp:inline distT="0" distB="0" distL="0" distR="0" wp14:anchorId="7BFECC85" wp14:editId="70140E32">
                  <wp:extent cx="2880000" cy="2880000"/>
                  <wp:effectExtent l="0" t="0" r="15875" b="15875"/>
                  <wp:docPr id="27258449" name="Graf 1">
                    <a:extLst xmlns:a="http://schemas.openxmlformats.org/drawingml/2006/main">
                      <a:ext uri="{FF2B5EF4-FFF2-40B4-BE49-F238E27FC236}">
                        <a16:creationId xmlns:a16="http://schemas.microsoft.com/office/drawing/2014/main" id="{DAA725D4-1F74-410F-A9FC-52C266B03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A9F203B" w14:textId="65E3F020" w:rsidR="00FC2F8A" w:rsidRDefault="009F0F19" w:rsidP="00C46C3F">
      <w:pPr>
        <w:spacing w:after="0"/>
        <w:jc w:val="right"/>
        <w:rPr>
          <w:i/>
          <w:iCs/>
          <w:sz w:val="20"/>
          <w:szCs w:val="20"/>
        </w:rPr>
      </w:pPr>
      <w:proofErr w:type="spellStart"/>
      <w:r>
        <w:rPr>
          <w:i/>
          <w:iCs/>
          <w:sz w:val="20"/>
          <w:szCs w:val="20"/>
        </w:rPr>
        <w:t>Data</w:t>
      </w:r>
      <w:proofErr w:type="spellEnd"/>
      <w:r w:rsidR="00FC42AC">
        <w:rPr>
          <w:i/>
          <w:iCs/>
          <w:sz w:val="20"/>
          <w:szCs w:val="20"/>
        </w:rPr>
        <w:t>:</w:t>
      </w:r>
      <w:r>
        <w:rPr>
          <w:i/>
          <w:iCs/>
          <w:sz w:val="20"/>
          <w:szCs w:val="20"/>
        </w:rPr>
        <w:t xml:space="preserve"> </w:t>
      </w:r>
      <w:r w:rsidR="00FC42AC" w:rsidRPr="00FC42AC">
        <w:rPr>
          <w:i/>
          <w:iCs/>
          <w:sz w:val="20"/>
          <w:szCs w:val="20"/>
        </w:rPr>
        <w:t xml:space="preserve">GERD by </w:t>
      </w:r>
      <w:proofErr w:type="spellStart"/>
      <w:r w:rsidR="00FC42AC" w:rsidRPr="00FC42AC">
        <w:rPr>
          <w:i/>
          <w:iCs/>
          <w:sz w:val="20"/>
          <w:szCs w:val="20"/>
        </w:rPr>
        <w:t>sector</w:t>
      </w:r>
      <w:proofErr w:type="spellEnd"/>
      <w:r w:rsidR="00FC42AC" w:rsidRPr="00FC42AC">
        <w:rPr>
          <w:i/>
          <w:iCs/>
          <w:sz w:val="20"/>
          <w:szCs w:val="20"/>
        </w:rPr>
        <w:t xml:space="preserve"> of </w:t>
      </w:r>
      <w:proofErr w:type="spellStart"/>
      <w:r w:rsidR="00FC42AC" w:rsidRPr="00FC42AC">
        <w:rPr>
          <w:i/>
          <w:iCs/>
          <w:sz w:val="20"/>
          <w:szCs w:val="20"/>
        </w:rPr>
        <w:t>performance</w:t>
      </w:r>
      <w:proofErr w:type="spellEnd"/>
      <w:r w:rsidR="00FC42AC" w:rsidRPr="00FC42AC">
        <w:rPr>
          <w:i/>
          <w:iCs/>
          <w:sz w:val="20"/>
          <w:szCs w:val="20"/>
        </w:rPr>
        <w:t xml:space="preserve"> [rd_e_gerdtot__custom_15359980]</w:t>
      </w:r>
    </w:p>
    <w:p w14:paraId="54BEB84D" w14:textId="26DEFC9E" w:rsidR="00620028" w:rsidRPr="00620028" w:rsidRDefault="00D0207F" w:rsidP="00620028">
      <w:pPr>
        <w:spacing w:after="0" w:line="240" w:lineRule="auto"/>
        <w:jc w:val="right"/>
        <w:rPr>
          <w:i/>
          <w:iCs/>
          <w:sz w:val="20"/>
          <w:szCs w:val="20"/>
        </w:rPr>
      </w:pPr>
      <w:r>
        <w:rPr>
          <w:i/>
          <w:iCs/>
          <w:sz w:val="20"/>
          <w:szCs w:val="20"/>
        </w:rPr>
        <w:t xml:space="preserve">Note: </w:t>
      </w:r>
      <w:r w:rsidR="00620028" w:rsidRPr="00620028">
        <w:rPr>
          <w:i/>
          <w:iCs/>
          <w:sz w:val="20"/>
          <w:szCs w:val="20"/>
        </w:rPr>
        <w:t>BW, BAV (2011), BA (2012, 2019)</w:t>
      </w:r>
    </w:p>
    <w:p w14:paraId="3F67B437" w14:textId="77777777" w:rsidR="00FC2F8A" w:rsidRPr="00745158" w:rsidRDefault="00FC2F8A" w:rsidP="00222D32"/>
    <w:p w14:paraId="7209C1BB" w14:textId="0CFA4885" w:rsidR="00355B23" w:rsidRPr="008C2018" w:rsidRDefault="008C2018" w:rsidP="006101DB">
      <w:pPr>
        <w:spacing w:line="276" w:lineRule="auto"/>
        <w:jc w:val="both"/>
        <w:rPr>
          <w:lang w:val="en-GB"/>
        </w:rPr>
      </w:pPr>
      <w:r w:rsidRPr="008C2018">
        <w:rPr>
          <w:lang w:val="en-GB"/>
        </w:rPr>
        <w:t>Private sector investments in research and innovation provide insight into how intensively companies invest in these areas. Since corporate investments are primarily directed toward activities that are close to the market or expected to have market applications, they also reflect the level of innovation activity among firms in individual countries. From this perspective, private investments are highest in Germany (1.93% of GDP), Austria (1.68% of GDP), and Slovenia (0.93% of GDP). Conversely, the lowest levels are observed in Serbia (0.01% of GDP), Bosnia and Herzegovina, and Montenegro (0.07% of GDP).</w:t>
      </w:r>
    </w:p>
    <w:p w14:paraId="5C2C972F" w14:textId="6D995869" w:rsidR="004C77A6" w:rsidRPr="004C77A6" w:rsidRDefault="004C77A6" w:rsidP="009845B7">
      <w:pPr>
        <w:pStyle w:val="Popis"/>
        <w:keepNext/>
        <w:spacing w:after="120"/>
        <w:rPr>
          <w:b/>
          <w:bCs/>
          <w:i w:val="0"/>
          <w:iCs w:val="0"/>
          <w:color w:val="auto"/>
          <w:sz w:val="20"/>
          <w:szCs w:val="20"/>
        </w:rPr>
      </w:pPr>
      <w:bookmarkStart w:id="19" w:name="_Toc202166636"/>
      <w:proofErr w:type="spellStart"/>
      <w:r w:rsidRPr="004C77A6">
        <w:rPr>
          <w:b/>
          <w:bCs/>
          <w:i w:val="0"/>
          <w:iCs w:val="0"/>
          <w:color w:val="auto"/>
          <w:sz w:val="20"/>
          <w:szCs w:val="20"/>
        </w:rPr>
        <w:t>Graph</w:t>
      </w:r>
      <w:proofErr w:type="spellEnd"/>
      <w:r w:rsidRPr="004C77A6">
        <w:rPr>
          <w:b/>
          <w:bCs/>
          <w:i w:val="0"/>
          <w:iCs w:val="0"/>
          <w:color w:val="auto"/>
          <w:sz w:val="20"/>
          <w:szCs w:val="20"/>
        </w:rPr>
        <w:t xml:space="preserve">  </w:t>
      </w:r>
      <w:r w:rsidRPr="004C77A6">
        <w:rPr>
          <w:b/>
          <w:bCs/>
          <w:i w:val="0"/>
          <w:iCs w:val="0"/>
          <w:color w:val="auto"/>
          <w:sz w:val="20"/>
          <w:szCs w:val="20"/>
        </w:rPr>
        <w:fldChar w:fldCharType="begin"/>
      </w:r>
      <w:r w:rsidRPr="004C77A6">
        <w:rPr>
          <w:b/>
          <w:bCs/>
          <w:i w:val="0"/>
          <w:iCs w:val="0"/>
          <w:color w:val="auto"/>
          <w:sz w:val="20"/>
          <w:szCs w:val="20"/>
        </w:rPr>
        <w:instrText xml:space="preserve"> SEQ Graph_ \* ARABIC </w:instrText>
      </w:r>
      <w:r w:rsidRPr="004C77A6">
        <w:rPr>
          <w:b/>
          <w:bCs/>
          <w:i w:val="0"/>
          <w:iCs w:val="0"/>
          <w:color w:val="auto"/>
          <w:sz w:val="20"/>
          <w:szCs w:val="20"/>
        </w:rPr>
        <w:fldChar w:fldCharType="separate"/>
      </w:r>
      <w:r w:rsidR="00FE761C">
        <w:rPr>
          <w:b/>
          <w:bCs/>
          <w:i w:val="0"/>
          <w:iCs w:val="0"/>
          <w:noProof/>
          <w:color w:val="auto"/>
          <w:sz w:val="20"/>
          <w:szCs w:val="20"/>
        </w:rPr>
        <w:t>6</w:t>
      </w:r>
      <w:r w:rsidRPr="004C77A6">
        <w:rPr>
          <w:b/>
          <w:bCs/>
          <w:i w:val="0"/>
          <w:iCs w:val="0"/>
          <w:color w:val="auto"/>
          <w:sz w:val="20"/>
          <w:szCs w:val="20"/>
        </w:rPr>
        <w:fldChar w:fldCharType="end"/>
      </w:r>
      <w:r w:rsidRPr="004C77A6">
        <w:rPr>
          <w:b/>
          <w:bCs/>
          <w:i w:val="0"/>
          <w:iCs w:val="0"/>
          <w:color w:val="auto"/>
          <w:sz w:val="20"/>
          <w:szCs w:val="20"/>
        </w:rPr>
        <w:t xml:space="preserve"> R&amp;D </w:t>
      </w:r>
      <w:proofErr w:type="spellStart"/>
      <w:r w:rsidRPr="004C77A6">
        <w:rPr>
          <w:b/>
          <w:bCs/>
          <w:i w:val="0"/>
          <w:iCs w:val="0"/>
          <w:color w:val="auto"/>
          <w:sz w:val="20"/>
          <w:szCs w:val="20"/>
        </w:rPr>
        <w:t>investments</w:t>
      </w:r>
      <w:proofErr w:type="spellEnd"/>
      <w:r w:rsidRPr="004C77A6">
        <w:rPr>
          <w:b/>
          <w:bCs/>
          <w:i w:val="0"/>
          <w:iCs w:val="0"/>
          <w:color w:val="auto"/>
          <w:sz w:val="20"/>
          <w:szCs w:val="20"/>
        </w:rPr>
        <w:t xml:space="preserve"> in </w:t>
      </w:r>
      <w:proofErr w:type="spellStart"/>
      <w:r w:rsidRPr="004C77A6">
        <w:rPr>
          <w:b/>
          <w:bCs/>
          <w:i w:val="0"/>
          <w:iCs w:val="0"/>
          <w:color w:val="auto"/>
          <w:sz w:val="20"/>
          <w:szCs w:val="20"/>
        </w:rPr>
        <w:t>the</w:t>
      </w:r>
      <w:proofErr w:type="spellEnd"/>
      <w:r w:rsidRPr="004C77A6">
        <w:rPr>
          <w:b/>
          <w:bCs/>
          <w:i w:val="0"/>
          <w:iCs w:val="0"/>
          <w:color w:val="auto"/>
          <w:sz w:val="20"/>
          <w:szCs w:val="20"/>
        </w:rPr>
        <w:t xml:space="preserve"> business </w:t>
      </w:r>
      <w:proofErr w:type="spellStart"/>
      <w:r w:rsidRPr="004C77A6">
        <w:rPr>
          <w:b/>
          <w:bCs/>
          <w:i w:val="0"/>
          <w:iCs w:val="0"/>
          <w:color w:val="auto"/>
          <w:sz w:val="20"/>
          <w:szCs w:val="20"/>
        </w:rPr>
        <w:t>sector</w:t>
      </w:r>
      <w:bookmarkEnd w:id="19"/>
      <w:proofErr w:type="spellEnd"/>
    </w:p>
    <w:p w14:paraId="49C10CEB" w14:textId="051DBE64" w:rsidR="00355B23" w:rsidRDefault="00355B23" w:rsidP="007477D4">
      <w:pPr>
        <w:spacing w:after="0"/>
        <w:rPr>
          <w:i/>
          <w:iCs/>
          <w:sz w:val="20"/>
          <w:szCs w:val="20"/>
        </w:rPr>
      </w:pPr>
      <w:r>
        <w:rPr>
          <w:noProof/>
          <w14:ligatures w14:val="standardContextual"/>
        </w:rPr>
        <w:drawing>
          <wp:inline distT="0" distB="0" distL="0" distR="0" wp14:anchorId="611DA2FF" wp14:editId="4C719617">
            <wp:extent cx="5759450" cy="2880000"/>
            <wp:effectExtent l="0" t="0" r="12700" b="15875"/>
            <wp:docPr id="884067198" name="Graf 1">
              <a:extLst xmlns:a="http://schemas.openxmlformats.org/drawingml/2006/main">
                <a:ext uri="{FF2B5EF4-FFF2-40B4-BE49-F238E27FC236}">
                  <a16:creationId xmlns:a16="http://schemas.microsoft.com/office/drawing/2014/main" id="{2BE650D9-6FBC-7E4D-BE7F-11A783E258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1FBB7B" w14:textId="24BEAE44" w:rsidR="00355B23" w:rsidRPr="007477D4" w:rsidRDefault="009F0F19" w:rsidP="007477D4">
      <w:pPr>
        <w:spacing w:after="0"/>
        <w:jc w:val="right"/>
        <w:rPr>
          <w:i/>
          <w:iCs/>
          <w:sz w:val="20"/>
          <w:szCs w:val="20"/>
        </w:rPr>
      </w:pPr>
      <w:proofErr w:type="spellStart"/>
      <w:r>
        <w:rPr>
          <w:i/>
          <w:iCs/>
          <w:sz w:val="20"/>
          <w:szCs w:val="20"/>
        </w:rPr>
        <w:t>Data</w:t>
      </w:r>
      <w:proofErr w:type="spellEnd"/>
      <w:r w:rsidR="00355B23" w:rsidRPr="007477D4">
        <w:rPr>
          <w:i/>
          <w:iCs/>
          <w:sz w:val="20"/>
          <w:szCs w:val="20"/>
        </w:rPr>
        <w:t xml:space="preserve">: </w:t>
      </w:r>
      <w:proofErr w:type="spellStart"/>
      <w:r w:rsidR="00355B23" w:rsidRPr="007477D4">
        <w:rPr>
          <w:i/>
          <w:iCs/>
          <w:sz w:val="20"/>
          <w:szCs w:val="20"/>
        </w:rPr>
        <w:t>Eurostat</w:t>
      </w:r>
      <w:proofErr w:type="spellEnd"/>
      <w:r w:rsidR="00355B23" w:rsidRPr="007477D4">
        <w:rPr>
          <w:i/>
          <w:iCs/>
          <w:sz w:val="20"/>
          <w:szCs w:val="20"/>
        </w:rPr>
        <w:t>;</w:t>
      </w:r>
      <w:r w:rsidR="007477D4" w:rsidRPr="007477D4">
        <w:rPr>
          <w:i/>
          <w:iCs/>
          <w:sz w:val="20"/>
          <w:szCs w:val="20"/>
        </w:rPr>
        <w:t xml:space="preserve"> </w:t>
      </w:r>
      <w:r w:rsidR="00355B23" w:rsidRPr="007477D4">
        <w:rPr>
          <w:i/>
          <w:iCs/>
          <w:sz w:val="20"/>
          <w:szCs w:val="20"/>
        </w:rPr>
        <w:t>https://doi.org/10.2908/RD_E_GERDFUND</w:t>
      </w:r>
    </w:p>
    <w:p w14:paraId="43B112A5" w14:textId="246847B6" w:rsidR="00355B23" w:rsidRPr="007477D4" w:rsidRDefault="00355B23" w:rsidP="007477D4">
      <w:pPr>
        <w:jc w:val="right"/>
        <w:rPr>
          <w:i/>
          <w:iCs/>
          <w:sz w:val="20"/>
          <w:szCs w:val="20"/>
        </w:rPr>
      </w:pPr>
      <w:r w:rsidRPr="007477D4">
        <w:rPr>
          <w:i/>
          <w:iCs/>
          <w:sz w:val="20"/>
          <w:szCs w:val="20"/>
        </w:rPr>
        <w:t>Note: AT, CZ, RS (2023); DE, EU (2021); ME (2011, 2014); BA (2012, 2019, 2021</w:t>
      </w:r>
    </w:p>
    <w:p w14:paraId="4D1F0C4B" w14:textId="77777777" w:rsidR="00355B23" w:rsidRDefault="00355B23" w:rsidP="00222D32">
      <w:pPr>
        <w:rPr>
          <w:i/>
          <w:iCs/>
          <w:sz w:val="20"/>
          <w:szCs w:val="20"/>
        </w:rPr>
      </w:pPr>
    </w:p>
    <w:p w14:paraId="42023D3A" w14:textId="7B88ADFF" w:rsidR="00FC2F8A" w:rsidRPr="00B24697" w:rsidRDefault="00B24697" w:rsidP="00B24697">
      <w:pPr>
        <w:pStyle w:val="Nadpis2"/>
        <w:numPr>
          <w:ilvl w:val="1"/>
          <w:numId w:val="1"/>
        </w:numPr>
        <w:spacing w:after="120"/>
        <w:rPr>
          <w:b/>
          <w:bCs/>
          <w:sz w:val="24"/>
          <w:szCs w:val="24"/>
          <w:lang w:val="en-GB"/>
        </w:rPr>
      </w:pPr>
      <w:bookmarkStart w:id="20" w:name="_Toc107413808"/>
      <w:bookmarkStart w:id="21" w:name="_Toc202166684"/>
      <w:r w:rsidRPr="00B24697">
        <w:rPr>
          <w:b/>
          <w:bCs/>
          <w:sz w:val="24"/>
          <w:szCs w:val="24"/>
          <w:lang w:val="en-GB"/>
        </w:rPr>
        <w:t>Investments in talent and human resources</w:t>
      </w:r>
      <w:bookmarkEnd w:id="20"/>
      <w:bookmarkEnd w:id="21"/>
    </w:p>
    <w:p w14:paraId="68CCA204" w14:textId="77777777" w:rsidR="006B4687" w:rsidRPr="006B4687" w:rsidRDefault="006B4687" w:rsidP="006101DB">
      <w:pPr>
        <w:spacing w:line="276" w:lineRule="auto"/>
        <w:jc w:val="both"/>
        <w:rPr>
          <w:lang w:val="en-GB"/>
        </w:rPr>
      </w:pPr>
      <w:r w:rsidRPr="006B4687">
        <w:rPr>
          <w:lang w:val="en-GB"/>
        </w:rPr>
        <w:t>Investments in talent represent the second fundamental pillar for building innovation-driven economies.</w:t>
      </w:r>
    </w:p>
    <w:p w14:paraId="7B094433" w14:textId="3BCAA0EF" w:rsidR="00FC2F8A" w:rsidRPr="0058797B" w:rsidRDefault="006B4687" w:rsidP="006101DB">
      <w:pPr>
        <w:spacing w:line="276" w:lineRule="auto"/>
        <w:jc w:val="both"/>
        <w:rPr>
          <w:lang w:val="en-GB"/>
        </w:rPr>
      </w:pPr>
      <w:r w:rsidRPr="006B4687">
        <w:rPr>
          <w:lang w:val="en-GB"/>
        </w:rPr>
        <w:t>The highest share of graduates at the bachelor's and master's levels is observed in Bulgaria (53.77%), followed by Germany (47.16%) and Croatia (46.70%). In contrast, the lowest shares are recorded in Hungary (32.12%), Bosnia and Herzegovina (33.96%), and Montenegro (35.09%).</w:t>
      </w:r>
      <w:r w:rsidR="0058797B">
        <w:rPr>
          <w:lang w:val="en-GB"/>
        </w:rPr>
        <w:t xml:space="preserve"> </w:t>
      </w:r>
      <w:r w:rsidRPr="006B4687">
        <w:rPr>
          <w:lang w:val="en-GB"/>
        </w:rPr>
        <w:t>Ukraine recorded the highest increase in the number of graduates compared to 2017, with a growth of 37.52%. Austria (13.2%) and Romania (13.03%) follow with the second and third highest increases, respectively. On the other hand, the most significant decline in the number of graduates was observed in Montenegro (-8.18%).</w:t>
      </w:r>
    </w:p>
    <w:p w14:paraId="26C3DA1F" w14:textId="42E5486F" w:rsidR="0040167A" w:rsidRPr="0040167A" w:rsidRDefault="0040167A" w:rsidP="0040167A">
      <w:pPr>
        <w:pStyle w:val="Popis"/>
        <w:keepNext/>
        <w:spacing w:after="0"/>
        <w:rPr>
          <w:b/>
          <w:bCs/>
          <w:i w:val="0"/>
          <w:iCs w:val="0"/>
          <w:color w:val="auto"/>
          <w:sz w:val="20"/>
          <w:szCs w:val="20"/>
        </w:rPr>
      </w:pPr>
      <w:bookmarkStart w:id="22" w:name="_Toc202166637"/>
      <w:proofErr w:type="spellStart"/>
      <w:r w:rsidRPr="0040167A">
        <w:rPr>
          <w:b/>
          <w:bCs/>
          <w:i w:val="0"/>
          <w:iCs w:val="0"/>
          <w:color w:val="auto"/>
          <w:sz w:val="20"/>
          <w:szCs w:val="20"/>
        </w:rPr>
        <w:t>Graph</w:t>
      </w:r>
      <w:proofErr w:type="spellEnd"/>
      <w:r w:rsidRPr="0040167A">
        <w:rPr>
          <w:b/>
          <w:bCs/>
          <w:i w:val="0"/>
          <w:iCs w:val="0"/>
          <w:color w:val="auto"/>
          <w:sz w:val="20"/>
          <w:szCs w:val="20"/>
        </w:rPr>
        <w:t xml:space="preserve">  </w:t>
      </w:r>
      <w:r w:rsidRPr="0040167A">
        <w:rPr>
          <w:b/>
          <w:bCs/>
          <w:i w:val="0"/>
          <w:iCs w:val="0"/>
          <w:color w:val="auto"/>
          <w:sz w:val="20"/>
          <w:szCs w:val="20"/>
        </w:rPr>
        <w:fldChar w:fldCharType="begin"/>
      </w:r>
      <w:r w:rsidRPr="0040167A">
        <w:rPr>
          <w:b/>
          <w:bCs/>
          <w:i w:val="0"/>
          <w:iCs w:val="0"/>
          <w:color w:val="auto"/>
          <w:sz w:val="20"/>
          <w:szCs w:val="20"/>
        </w:rPr>
        <w:instrText xml:space="preserve"> SEQ Graph_ \* ARABIC </w:instrText>
      </w:r>
      <w:r w:rsidRPr="0040167A">
        <w:rPr>
          <w:b/>
          <w:bCs/>
          <w:i w:val="0"/>
          <w:iCs w:val="0"/>
          <w:color w:val="auto"/>
          <w:sz w:val="20"/>
          <w:szCs w:val="20"/>
        </w:rPr>
        <w:fldChar w:fldCharType="separate"/>
      </w:r>
      <w:r w:rsidR="00FE761C">
        <w:rPr>
          <w:b/>
          <w:bCs/>
          <w:i w:val="0"/>
          <w:iCs w:val="0"/>
          <w:noProof/>
          <w:color w:val="auto"/>
          <w:sz w:val="20"/>
          <w:szCs w:val="20"/>
        </w:rPr>
        <w:t>7</w:t>
      </w:r>
      <w:r w:rsidRPr="0040167A">
        <w:rPr>
          <w:b/>
          <w:bCs/>
          <w:i w:val="0"/>
          <w:iCs w:val="0"/>
          <w:color w:val="auto"/>
          <w:sz w:val="20"/>
          <w:szCs w:val="20"/>
        </w:rPr>
        <w:fldChar w:fldCharType="end"/>
      </w:r>
      <w:r w:rsidRPr="0040167A">
        <w:rPr>
          <w:b/>
          <w:bCs/>
          <w:i w:val="0"/>
          <w:iCs w:val="0"/>
          <w:color w:val="auto"/>
          <w:sz w:val="20"/>
          <w:szCs w:val="20"/>
        </w:rPr>
        <w:t xml:space="preserve"> </w:t>
      </w:r>
      <w:proofErr w:type="spellStart"/>
      <w:r w:rsidRPr="0040167A">
        <w:rPr>
          <w:b/>
          <w:bCs/>
          <w:i w:val="0"/>
          <w:iCs w:val="0"/>
          <w:color w:val="auto"/>
          <w:sz w:val="20"/>
          <w:szCs w:val="20"/>
        </w:rPr>
        <w:t>Gross</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graduation</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ratio</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from</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first</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degree</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programmes</w:t>
      </w:r>
      <w:proofErr w:type="spellEnd"/>
      <w:r w:rsidRPr="0040167A">
        <w:rPr>
          <w:b/>
          <w:bCs/>
          <w:i w:val="0"/>
          <w:iCs w:val="0"/>
          <w:color w:val="auto"/>
          <w:sz w:val="20"/>
          <w:szCs w:val="20"/>
        </w:rPr>
        <w:t xml:space="preserve"> (ISCED 6 and 7) in </w:t>
      </w:r>
      <w:proofErr w:type="spellStart"/>
      <w:r w:rsidRPr="0040167A">
        <w:rPr>
          <w:b/>
          <w:bCs/>
          <w:i w:val="0"/>
          <w:iCs w:val="0"/>
          <w:color w:val="auto"/>
          <w:sz w:val="20"/>
          <w:szCs w:val="20"/>
        </w:rPr>
        <w:t>tertiary</w:t>
      </w:r>
      <w:proofErr w:type="spellEnd"/>
      <w:r w:rsidRPr="0040167A">
        <w:rPr>
          <w:b/>
          <w:bCs/>
          <w:i w:val="0"/>
          <w:iCs w:val="0"/>
          <w:color w:val="auto"/>
          <w:sz w:val="20"/>
          <w:szCs w:val="20"/>
        </w:rPr>
        <w:t xml:space="preserve"> </w:t>
      </w:r>
      <w:proofErr w:type="spellStart"/>
      <w:r w:rsidRPr="0040167A">
        <w:rPr>
          <w:b/>
          <w:bCs/>
          <w:i w:val="0"/>
          <w:iCs w:val="0"/>
          <w:color w:val="auto"/>
          <w:sz w:val="20"/>
          <w:szCs w:val="20"/>
        </w:rPr>
        <w:t>education</w:t>
      </w:r>
      <w:proofErr w:type="spellEnd"/>
      <w:r w:rsidRPr="0040167A">
        <w:rPr>
          <w:b/>
          <w:bCs/>
          <w:i w:val="0"/>
          <w:iCs w:val="0"/>
          <w:noProof/>
          <w:color w:val="auto"/>
          <w:sz w:val="20"/>
          <w:szCs w:val="20"/>
        </w:rPr>
        <w:t xml:space="preserve"> (%)</w:t>
      </w:r>
      <w:bookmarkEnd w:id="22"/>
    </w:p>
    <w:p w14:paraId="2DC02399" w14:textId="305CF8D3" w:rsidR="00FC2F8A" w:rsidRDefault="007C7402" w:rsidP="0040167A">
      <w:pPr>
        <w:spacing w:after="0"/>
        <w:rPr>
          <w:i/>
          <w:iCs/>
          <w:sz w:val="20"/>
          <w:szCs w:val="20"/>
        </w:rPr>
      </w:pPr>
      <w:r>
        <w:rPr>
          <w:noProof/>
          <w14:ligatures w14:val="standardContextual"/>
        </w:rPr>
        <w:drawing>
          <wp:inline distT="0" distB="0" distL="0" distR="0" wp14:anchorId="79C2967C" wp14:editId="3C97C8FF">
            <wp:extent cx="5759450" cy="2880000"/>
            <wp:effectExtent l="0" t="0" r="12700" b="15875"/>
            <wp:docPr id="918922954" name="Graf 1">
              <a:extLst xmlns:a="http://schemas.openxmlformats.org/drawingml/2006/main">
                <a:ext uri="{FF2B5EF4-FFF2-40B4-BE49-F238E27FC236}">
                  <a16:creationId xmlns:a16="http://schemas.microsoft.com/office/drawing/2014/main" id="{0DDDC03C-3F85-4694-A631-61A962D88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2EB3F1" w14:textId="4C08D7D3" w:rsidR="00DA190F" w:rsidRDefault="009F0F19" w:rsidP="00D0207F">
      <w:pPr>
        <w:spacing w:after="0"/>
        <w:jc w:val="right"/>
        <w:rPr>
          <w:i/>
          <w:iCs/>
          <w:sz w:val="20"/>
          <w:szCs w:val="20"/>
        </w:rPr>
      </w:pPr>
      <w:proofErr w:type="spellStart"/>
      <w:r>
        <w:rPr>
          <w:i/>
          <w:iCs/>
          <w:sz w:val="20"/>
          <w:szCs w:val="20"/>
        </w:rPr>
        <w:t>Data</w:t>
      </w:r>
      <w:proofErr w:type="spellEnd"/>
      <w:r w:rsidR="00DA190F">
        <w:rPr>
          <w:i/>
          <w:iCs/>
          <w:sz w:val="20"/>
          <w:szCs w:val="20"/>
        </w:rPr>
        <w:t xml:space="preserve">: </w:t>
      </w:r>
      <w:r w:rsidR="00DA190F" w:rsidRPr="00DA190F">
        <w:rPr>
          <w:i/>
          <w:iCs/>
          <w:sz w:val="20"/>
          <w:szCs w:val="20"/>
        </w:rPr>
        <w:t>UNESCO</w:t>
      </w:r>
    </w:p>
    <w:p w14:paraId="52E38AC0" w14:textId="7392C519" w:rsidR="00DA190F" w:rsidRPr="00DA190F" w:rsidRDefault="00DA190F" w:rsidP="00D0207F">
      <w:pPr>
        <w:jc w:val="right"/>
        <w:rPr>
          <w:i/>
          <w:iCs/>
          <w:sz w:val="20"/>
          <w:szCs w:val="20"/>
        </w:rPr>
      </w:pPr>
      <w:r>
        <w:rPr>
          <w:i/>
          <w:iCs/>
          <w:sz w:val="20"/>
          <w:szCs w:val="20"/>
        </w:rPr>
        <w:t xml:space="preserve">Note: </w:t>
      </w:r>
      <w:r w:rsidRPr="00DA190F">
        <w:rPr>
          <w:i/>
          <w:iCs/>
          <w:sz w:val="20"/>
          <w:szCs w:val="20"/>
        </w:rPr>
        <w:t>AT(2013,2018); BG(2020); BA(2009,2018); MD(2014,2020); ME(2010 - N/A, 2021); RO(2016); RS(2017, 2020-N/A); UA(2020)</w:t>
      </w:r>
    </w:p>
    <w:p w14:paraId="5A06D531" w14:textId="77777777" w:rsidR="00A66799" w:rsidRDefault="00A66799" w:rsidP="00876D20">
      <w:pPr>
        <w:jc w:val="both"/>
      </w:pPr>
    </w:p>
    <w:p w14:paraId="0CF566CE" w14:textId="77777777" w:rsidR="00A66799" w:rsidRPr="00A66799" w:rsidRDefault="00A66799" w:rsidP="00A66799">
      <w:pPr>
        <w:jc w:val="both"/>
        <w:rPr>
          <w:lang w:val="en-GB"/>
        </w:rPr>
      </w:pPr>
      <w:r w:rsidRPr="00A66799">
        <w:rPr>
          <w:lang w:val="en-GB"/>
        </w:rPr>
        <w:t>Austria has the highest share of tertiary education graduates among individuals aged 25–34 (43.5%). It is also the only country in the Danube Region where this share exceeds the EU average (43.1%). Slovenia and Montenegro also surpass the 40% threshold, which is one of the EU’s strategic priorities. In contrast, Romania (22.5%) and Bosnia and Herzegovina (26.6%) report the lowest shares, both below 30%.</w:t>
      </w:r>
    </w:p>
    <w:p w14:paraId="2FDDA9C9" w14:textId="433F205A" w:rsidR="00E40020" w:rsidRPr="00B24E83" w:rsidRDefault="00A66799" w:rsidP="00B24E83">
      <w:pPr>
        <w:jc w:val="both"/>
        <w:rPr>
          <w:lang w:val="en-GB"/>
        </w:rPr>
      </w:pPr>
      <w:r w:rsidRPr="00A66799">
        <w:rPr>
          <w:lang w:val="en-GB"/>
        </w:rPr>
        <w:t>The most significant increase since 2010 has been observed in Austria, where the share of graduates rose by 22.8 percentage points. Serbia and Slovakia follow, each with an increase of 15.8 percentage points. On the other hand, the smallest increases were recorded in Romania (1.8 percentage points) and Hungary (4.0 percentage points).</w:t>
      </w:r>
    </w:p>
    <w:p w14:paraId="27DEBCDD" w14:textId="77777777" w:rsidR="00E40020" w:rsidRDefault="00E40020" w:rsidP="00222D32">
      <w:pPr>
        <w:rPr>
          <w:i/>
          <w:iCs/>
          <w:sz w:val="20"/>
          <w:szCs w:val="20"/>
        </w:rPr>
      </w:pPr>
    </w:p>
    <w:p w14:paraId="30903FB5" w14:textId="492FCB42" w:rsidR="00C130DF" w:rsidRPr="00C130DF" w:rsidRDefault="00C130DF" w:rsidP="00C130DF">
      <w:pPr>
        <w:pStyle w:val="Popis"/>
        <w:keepNext/>
        <w:spacing w:after="0"/>
        <w:rPr>
          <w:b/>
          <w:bCs/>
          <w:i w:val="0"/>
          <w:iCs w:val="0"/>
          <w:color w:val="auto"/>
          <w:sz w:val="20"/>
          <w:szCs w:val="20"/>
        </w:rPr>
      </w:pPr>
      <w:bookmarkStart w:id="23" w:name="_Toc202166638"/>
      <w:proofErr w:type="spellStart"/>
      <w:r w:rsidRPr="00C130DF">
        <w:rPr>
          <w:b/>
          <w:bCs/>
          <w:i w:val="0"/>
          <w:iCs w:val="0"/>
          <w:color w:val="auto"/>
          <w:sz w:val="20"/>
          <w:szCs w:val="20"/>
        </w:rPr>
        <w:lastRenderedPageBreak/>
        <w:t>Graph</w:t>
      </w:r>
      <w:proofErr w:type="spellEnd"/>
      <w:r w:rsidRPr="00C130DF">
        <w:rPr>
          <w:b/>
          <w:bCs/>
          <w:i w:val="0"/>
          <w:iCs w:val="0"/>
          <w:color w:val="auto"/>
          <w:sz w:val="20"/>
          <w:szCs w:val="20"/>
        </w:rPr>
        <w:t xml:space="preserve">  </w:t>
      </w:r>
      <w:r w:rsidRPr="00C130DF">
        <w:rPr>
          <w:b/>
          <w:bCs/>
          <w:i w:val="0"/>
          <w:iCs w:val="0"/>
          <w:color w:val="auto"/>
          <w:sz w:val="20"/>
          <w:szCs w:val="20"/>
        </w:rPr>
        <w:fldChar w:fldCharType="begin"/>
      </w:r>
      <w:r w:rsidRPr="00C130DF">
        <w:rPr>
          <w:b/>
          <w:bCs/>
          <w:i w:val="0"/>
          <w:iCs w:val="0"/>
          <w:color w:val="auto"/>
          <w:sz w:val="20"/>
          <w:szCs w:val="20"/>
        </w:rPr>
        <w:instrText xml:space="preserve"> SEQ Graph_ \* ARABIC </w:instrText>
      </w:r>
      <w:r w:rsidRPr="00C130DF">
        <w:rPr>
          <w:b/>
          <w:bCs/>
          <w:i w:val="0"/>
          <w:iCs w:val="0"/>
          <w:color w:val="auto"/>
          <w:sz w:val="20"/>
          <w:szCs w:val="20"/>
        </w:rPr>
        <w:fldChar w:fldCharType="separate"/>
      </w:r>
      <w:r w:rsidR="00FE761C">
        <w:rPr>
          <w:b/>
          <w:bCs/>
          <w:i w:val="0"/>
          <w:iCs w:val="0"/>
          <w:noProof/>
          <w:color w:val="auto"/>
          <w:sz w:val="20"/>
          <w:szCs w:val="20"/>
        </w:rPr>
        <w:t>8</w:t>
      </w:r>
      <w:r w:rsidRPr="00C130DF">
        <w:rPr>
          <w:b/>
          <w:bCs/>
          <w:i w:val="0"/>
          <w:iCs w:val="0"/>
          <w:color w:val="auto"/>
          <w:sz w:val="20"/>
          <w:szCs w:val="20"/>
        </w:rPr>
        <w:fldChar w:fldCharType="end"/>
      </w:r>
      <w:r w:rsidRPr="00C130DF">
        <w:rPr>
          <w:b/>
          <w:bCs/>
          <w:i w:val="0"/>
          <w:iCs w:val="0"/>
          <w:color w:val="auto"/>
          <w:sz w:val="20"/>
          <w:szCs w:val="20"/>
        </w:rPr>
        <w:t xml:space="preserve"> </w:t>
      </w:r>
      <w:proofErr w:type="spellStart"/>
      <w:r w:rsidRPr="00C130DF">
        <w:rPr>
          <w:b/>
          <w:bCs/>
          <w:i w:val="0"/>
          <w:iCs w:val="0"/>
          <w:color w:val="auto"/>
          <w:sz w:val="20"/>
          <w:szCs w:val="20"/>
        </w:rPr>
        <w:t>Graduation</w:t>
      </w:r>
      <w:proofErr w:type="spellEnd"/>
      <w:r w:rsidRPr="00C130DF">
        <w:rPr>
          <w:b/>
          <w:bCs/>
          <w:i w:val="0"/>
          <w:iCs w:val="0"/>
          <w:color w:val="auto"/>
          <w:sz w:val="20"/>
          <w:szCs w:val="20"/>
        </w:rPr>
        <w:t xml:space="preserve"> </w:t>
      </w:r>
      <w:proofErr w:type="spellStart"/>
      <w:r w:rsidRPr="00C130DF">
        <w:rPr>
          <w:b/>
          <w:bCs/>
          <w:i w:val="0"/>
          <w:iCs w:val="0"/>
          <w:color w:val="auto"/>
          <w:sz w:val="20"/>
          <w:szCs w:val="20"/>
        </w:rPr>
        <w:t>ratio</w:t>
      </w:r>
      <w:proofErr w:type="spellEnd"/>
      <w:r w:rsidRPr="00C130DF">
        <w:rPr>
          <w:b/>
          <w:bCs/>
          <w:i w:val="0"/>
          <w:iCs w:val="0"/>
          <w:color w:val="auto"/>
          <w:sz w:val="20"/>
          <w:szCs w:val="20"/>
        </w:rPr>
        <w:t xml:space="preserve"> in </w:t>
      </w:r>
      <w:proofErr w:type="spellStart"/>
      <w:r w:rsidRPr="00C130DF">
        <w:rPr>
          <w:b/>
          <w:bCs/>
          <w:i w:val="0"/>
          <w:iCs w:val="0"/>
          <w:color w:val="auto"/>
          <w:sz w:val="20"/>
          <w:szCs w:val="20"/>
        </w:rPr>
        <w:t>tertiary</w:t>
      </w:r>
      <w:proofErr w:type="spellEnd"/>
      <w:r w:rsidRPr="00C130DF">
        <w:rPr>
          <w:b/>
          <w:bCs/>
          <w:i w:val="0"/>
          <w:iCs w:val="0"/>
          <w:color w:val="auto"/>
          <w:sz w:val="20"/>
          <w:szCs w:val="20"/>
        </w:rPr>
        <w:t xml:space="preserve"> </w:t>
      </w:r>
      <w:proofErr w:type="spellStart"/>
      <w:r w:rsidRPr="00C130DF">
        <w:rPr>
          <w:b/>
          <w:bCs/>
          <w:i w:val="0"/>
          <w:iCs w:val="0"/>
          <w:color w:val="auto"/>
          <w:sz w:val="20"/>
          <w:szCs w:val="20"/>
        </w:rPr>
        <w:t>education</w:t>
      </w:r>
      <w:proofErr w:type="spellEnd"/>
      <w:r w:rsidRPr="00C130DF">
        <w:rPr>
          <w:b/>
          <w:bCs/>
          <w:i w:val="0"/>
          <w:iCs w:val="0"/>
          <w:color w:val="auto"/>
          <w:sz w:val="20"/>
          <w:szCs w:val="20"/>
        </w:rPr>
        <w:t xml:space="preserve">, 25-34 </w:t>
      </w:r>
      <w:proofErr w:type="spellStart"/>
      <w:r w:rsidRPr="00C130DF">
        <w:rPr>
          <w:b/>
          <w:bCs/>
          <w:i w:val="0"/>
          <w:iCs w:val="0"/>
          <w:color w:val="auto"/>
          <w:sz w:val="20"/>
          <w:szCs w:val="20"/>
        </w:rPr>
        <w:t>years</w:t>
      </w:r>
      <w:proofErr w:type="spellEnd"/>
      <w:r w:rsidRPr="00C130DF">
        <w:rPr>
          <w:b/>
          <w:bCs/>
          <w:i w:val="0"/>
          <w:iCs w:val="0"/>
          <w:color w:val="auto"/>
          <w:sz w:val="20"/>
          <w:szCs w:val="20"/>
        </w:rPr>
        <w:t>(%)</w:t>
      </w:r>
      <w:bookmarkEnd w:id="23"/>
    </w:p>
    <w:p w14:paraId="4CCA1942" w14:textId="1FDEB25A" w:rsidR="00E40020" w:rsidRDefault="00911B01" w:rsidP="009F0F19">
      <w:pPr>
        <w:spacing w:after="0"/>
        <w:rPr>
          <w:i/>
          <w:iCs/>
          <w:sz w:val="20"/>
          <w:szCs w:val="20"/>
        </w:rPr>
      </w:pPr>
      <w:r>
        <w:rPr>
          <w:noProof/>
          <w14:ligatures w14:val="standardContextual"/>
        </w:rPr>
        <w:drawing>
          <wp:inline distT="0" distB="0" distL="0" distR="0" wp14:anchorId="3D6CE7BC" wp14:editId="2606B3E8">
            <wp:extent cx="5759450" cy="2880000"/>
            <wp:effectExtent l="0" t="0" r="12700" b="15875"/>
            <wp:docPr id="1933686716" name="Graf 1">
              <a:extLst xmlns:a="http://schemas.openxmlformats.org/drawingml/2006/main">
                <a:ext uri="{FF2B5EF4-FFF2-40B4-BE49-F238E27FC236}">
                  <a16:creationId xmlns:a16="http://schemas.microsoft.com/office/drawing/2014/main" id="{C8DE6D3C-E250-4154-8EBC-6E46B6389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10D193" w14:textId="1821EAE4" w:rsidR="00911B01" w:rsidRPr="00911B01" w:rsidRDefault="009F0F19" w:rsidP="007D4046">
      <w:pPr>
        <w:spacing w:after="0"/>
        <w:jc w:val="right"/>
        <w:rPr>
          <w:i/>
          <w:iCs/>
          <w:sz w:val="20"/>
          <w:szCs w:val="20"/>
        </w:rPr>
      </w:pPr>
      <w:proofErr w:type="spellStart"/>
      <w:r>
        <w:rPr>
          <w:i/>
          <w:iCs/>
          <w:sz w:val="20"/>
          <w:szCs w:val="20"/>
        </w:rPr>
        <w:t>Data</w:t>
      </w:r>
      <w:proofErr w:type="spellEnd"/>
      <w:r w:rsidR="0081566F">
        <w:rPr>
          <w:i/>
          <w:iCs/>
          <w:sz w:val="20"/>
          <w:szCs w:val="20"/>
        </w:rPr>
        <w:t xml:space="preserve">: </w:t>
      </w:r>
      <w:proofErr w:type="spellStart"/>
      <w:r w:rsidR="00911B01" w:rsidRPr="00911B01">
        <w:rPr>
          <w:i/>
          <w:iCs/>
          <w:sz w:val="20"/>
          <w:szCs w:val="20"/>
        </w:rPr>
        <w:t>Eurostat</w:t>
      </w:r>
      <w:proofErr w:type="spellEnd"/>
      <w:r w:rsidR="0081566F">
        <w:rPr>
          <w:i/>
          <w:iCs/>
          <w:sz w:val="20"/>
          <w:szCs w:val="20"/>
        </w:rPr>
        <w:t xml:space="preserve">; </w:t>
      </w:r>
      <w:hyperlink r:id="rId17" w:history="1">
        <w:r w:rsidR="0081566F" w:rsidRPr="00174BD2">
          <w:rPr>
            <w:rStyle w:val="Hypertextovprepojenie"/>
            <w:i/>
            <w:iCs/>
            <w:sz w:val="20"/>
            <w:szCs w:val="20"/>
          </w:rPr>
          <w:t>https://doi.org/10.2908/EDAT_LFS_9903</w:t>
        </w:r>
      </w:hyperlink>
      <w:r w:rsidR="0081566F">
        <w:rPr>
          <w:i/>
          <w:iCs/>
          <w:sz w:val="20"/>
          <w:szCs w:val="20"/>
        </w:rPr>
        <w:t xml:space="preserve">; </w:t>
      </w:r>
      <w:r w:rsidR="00911B01" w:rsidRPr="00911B01">
        <w:rPr>
          <w:i/>
          <w:iCs/>
          <w:sz w:val="20"/>
          <w:szCs w:val="20"/>
        </w:rPr>
        <w:t>edat_lfs_9903</w:t>
      </w:r>
    </w:p>
    <w:p w14:paraId="79AAC191" w14:textId="2A44B930" w:rsidR="00E40020" w:rsidRDefault="00911B01" w:rsidP="007D4046">
      <w:pPr>
        <w:jc w:val="right"/>
        <w:rPr>
          <w:i/>
          <w:iCs/>
          <w:sz w:val="20"/>
          <w:szCs w:val="20"/>
        </w:rPr>
      </w:pPr>
      <w:r w:rsidRPr="00911B01">
        <w:rPr>
          <w:i/>
          <w:iCs/>
          <w:sz w:val="20"/>
          <w:szCs w:val="20"/>
        </w:rPr>
        <w:t>Note: BA (2010, 2017-N/A); ME (2011,2020)</w:t>
      </w:r>
    </w:p>
    <w:p w14:paraId="4776AC8B" w14:textId="77777777" w:rsidR="00226656" w:rsidRPr="00226656" w:rsidRDefault="00226656" w:rsidP="00226656">
      <w:pPr>
        <w:jc w:val="both"/>
        <w:rPr>
          <w:lang w:val="en-GB"/>
        </w:rPr>
      </w:pPr>
      <w:r w:rsidRPr="00226656">
        <w:rPr>
          <w:lang w:val="en-GB"/>
        </w:rPr>
        <w:t>Another important indicator is the number of doctoral graduates in STEM fields per 1,000 inhabitants aged 25–34. This figure is highest in Germany (1.2), followed by the Czech Republic, Austria, and Slovenia (each at 0.8). In contrast, the lowest values are observed in Romania (0.3), and in Serbia, Hungary, and Bulgaria (each at 0.4).</w:t>
      </w:r>
    </w:p>
    <w:p w14:paraId="715ED897" w14:textId="392D218B" w:rsidR="00226656" w:rsidRPr="00226656" w:rsidRDefault="00226656" w:rsidP="002679E9">
      <w:pPr>
        <w:jc w:val="both"/>
        <w:rPr>
          <w:lang w:val="en-GB"/>
        </w:rPr>
      </w:pPr>
      <w:r w:rsidRPr="00226656">
        <w:rPr>
          <w:lang w:val="en-GB"/>
        </w:rPr>
        <w:t>In most countries, this indicator has remained stable over time. The only notable increase was recorded in Croatia, where the value rose by 0.2 between 2017 and 2022.</w:t>
      </w:r>
    </w:p>
    <w:p w14:paraId="40E66140" w14:textId="58C254EF" w:rsidR="00164410" w:rsidRPr="00164410" w:rsidRDefault="00164410" w:rsidP="00164410">
      <w:pPr>
        <w:pStyle w:val="Popis"/>
        <w:keepNext/>
        <w:spacing w:after="0"/>
        <w:rPr>
          <w:b/>
          <w:bCs/>
          <w:i w:val="0"/>
          <w:iCs w:val="0"/>
          <w:color w:val="auto"/>
          <w:sz w:val="20"/>
          <w:szCs w:val="20"/>
        </w:rPr>
      </w:pPr>
      <w:bookmarkStart w:id="24" w:name="_Toc202166639"/>
      <w:proofErr w:type="spellStart"/>
      <w:r w:rsidRPr="00164410">
        <w:rPr>
          <w:b/>
          <w:bCs/>
          <w:i w:val="0"/>
          <w:iCs w:val="0"/>
          <w:color w:val="auto"/>
          <w:sz w:val="20"/>
          <w:szCs w:val="20"/>
        </w:rPr>
        <w:t>Graph</w:t>
      </w:r>
      <w:proofErr w:type="spellEnd"/>
      <w:r w:rsidRPr="00164410">
        <w:rPr>
          <w:b/>
          <w:bCs/>
          <w:i w:val="0"/>
          <w:iCs w:val="0"/>
          <w:color w:val="auto"/>
          <w:sz w:val="20"/>
          <w:szCs w:val="20"/>
        </w:rPr>
        <w:t xml:space="preserve">  </w:t>
      </w:r>
      <w:r w:rsidRPr="00164410">
        <w:rPr>
          <w:b/>
          <w:bCs/>
          <w:i w:val="0"/>
          <w:iCs w:val="0"/>
          <w:color w:val="auto"/>
          <w:sz w:val="20"/>
          <w:szCs w:val="20"/>
        </w:rPr>
        <w:fldChar w:fldCharType="begin"/>
      </w:r>
      <w:r w:rsidRPr="00164410">
        <w:rPr>
          <w:b/>
          <w:bCs/>
          <w:i w:val="0"/>
          <w:iCs w:val="0"/>
          <w:color w:val="auto"/>
          <w:sz w:val="20"/>
          <w:szCs w:val="20"/>
        </w:rPr>
        <w:instrText xml:space="preserve"> SEQ Graph_ \* ARABIC </w:instrText>
      </w:r>
      <w:r w:rsidRPr="00164410">
        <w:rPr>
          <w:b/>
          <w:bCs/>
          <w:i w:val="0"/>
          <w:iCs w:val="0"/>
          <w:color w:val="auto"/>
          <w:sz w:val="20"/>
          <w:szCs w:val="20"/>
        </w:rPr>
        <w:fldChar w:fldCharType="separate"/>
      </w:r>
      <w:r w:rsidR="00FE761C">
        <w:rPr>
          <w:b/>
          <w:bCs/>
          <w:i w:val="0"/>
          <w:iCs w:val="0"/>
          <w:noProof/>
          <w:color w:val="auto"/>
          <w:sz w:val="20"/>
          <w:szCs w:val="20"/>
        </w:rPr>
        <w:t>9</w:t>
      </w:r>
      <w:r w:rsidRPr="00164410">
        <w:rPr>
          <w:b/>
          <w:bCs/>
          <w:i w:val="0"/>
          <w:iCs w:val="0"/>
          <w:color w:val="auto"/>
          <w:sz w:val="20"/>
          <w:szCs w:val="20"/>
        </w:rPr>
        <w:fldChar w:fldCharType="end"/>
      </w:r>
      <w:r w:rsidRPr="00164410">
        <w:rPr>
          <w:b/>
          <w:bCs/>
          <w:i w:val="0"/>
          <w:iCs w:val="0"/>
          <w:color w:val="auto"/>
          <w:sz w:val="20"/>
          <w:szCs w:val="20"/>
        </w:rPr>
        <w:t xml:space="preserve"> </w:t>
      </w:r>
      <w:proofErr w:type="spellStart"/>
      <w:r w:rsidRPr="00164410">
        <w:rPr>
          <w:b/>
          <w:bCs/>
          <w:i w:val="0"/>
          <w:iCs w:val="0"/>
          <w:color w:val="auto"/>
          <w:sz w:val="20"/>
          <w:szCs w:val="20"/>
        </w:rPr>
        <w:t>Graduates</w:t>
      </w:r>
      <w:proofErr w:type="spellEnd"/>
      <w:r w:rsidRPr="00164410">
        <w:rPr>
          <w:b/>
          <w:bCs/>
          <w:i w:val="0"/>
          <w:iCs w:val="0"/>
          <w:color w:val="auto"/>
          <w:sz w:val="20"/>
          <w:szCs w:val="20"/>
        </w:rPr>
        <w:t xml:space="preserve"> at </w:t>
      </w:r>
      <w:proofErr w:type="spellStart"/>
      <w:r w:rsidRPr="00164410">
        <w:rPr>
          <w:b/>
          <w:bCs/>
          <w:i w:val="0"/>
          <w:iCs w:val="0"/>
          <w:color w:val="auto"/>
          <w:sz w:val="20"/>
          <w:szCs w:val="20"/>
        </w:rPr>
        <w:t>doctoral</w:t>
      </w:r>
      <w:proofErr w:type="spellEnd"/>
      <w:r w:rsidRPr="00164410">
        <w:rPr>
          <w:b/>
          <w:bCs/>
          <w:i w:val="0"/>
          <w:iCs w:val="0"/>
          <w:color w:val="auto"/>
          <w:sz w:val="20"/>
          <w:szCs w:val="20"/>
        </w:rPr>
        <w:t xml:space="preserve"> level, in </w:t>
      </w:r>
      <w:proofErr w:type="spellStart"/>
      <w:r w:rsidRPr="00164410">
        <w:rPr>
          <w:b/>
          <w:bCs/>
          <w:i w:val="0"/>
          <w:iCs w:val="0"/>
          <w:color w:val="auto"/>
          <w:sz w:val="20"/>
          <w:szCs w:val="20"/>
        </w:rPr>
        <w:t>science</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math</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computing</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engineering</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manufacturing</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construction</w:t>
      </w:r>
      <w:proofErr w:type="spellEnd"/>
      <w:r w:rsidRPr="00164410">
        <w:rPr>
          <w:b/>
          <w:bCs/>
          <w:i w:val="0"/>
          <w:iCs w:val="0"/>
          <w:color w:val="auto"/>
          <w:sz w:val="20"/>
          <w:szCs w:val="20"/>
        </w:rPr>
        <w:t xml:space="preserve">, by sex - per 1000 of </w:t>
      </w:r>
      <w:proofErr w:type="spellStart"/>
      <w:r w:rsidRPr="00164410">
        <w:rPr>
          <w:b/>
          <w:bCs/>
          <w:i w:val="0"/>
          <w:iCs w:val="0"/>
          <w:color w:val="auto"/>
          <w:sz w:val="20"/>
          <w:szCs w:val="20"/>
        </w:rPr>
        <w:t>population</w:t>
      </w:r>
      <w:proofErr w:type="spellEnd"/>
      <w:r w:rsidRPr="00164410">
        <w:rPr>
          <w:b/>
          <w:bCs/>
          <w:i w:val="0"/>
          <w:iCs w:val="0"/>
          <w:color w:val="auto"/>
          <w:sz w:val="20"/>
          <w:szCs w:val="20"/>
        </w:rPr>
        <w:t xml:space="preserve"> </w:t>
      </w:r>
      <w:proofErr w:type="spellStart"/>
      <w:r w:rsidRPr="00164410">
        <w:rPr>
          <w:b/>
          <w:bCs/>
          <w:i w:val="0"/>
          <w:iCs w:val="0"/>
          <w:color w:val="auto"/>
          <w:sz w:val="20"/>
          <w:szCs w:val="20"/>
        </w:rPr>
        <w:t>aged</w:t>
      </w:r>
      <w:proofErr w:type="spellEnd"/>
      <w:r w:rsidRPr="00164410">
        <w:rPr>
          <w:b/>
          <w:bCs/>
          <w:i w:val="0"/>
          <w:iCs w:val="0"/>
          <w:color w:val="auto"/>
          <w:sz w:val="20"/>
          <w:szCs w:val="20"/>
        </w:rPr>
        <w:t xml:space="preserve"> 25-34</w:t>
      </w:r>
      <w:bookmarkEnd w:id="24"/>
    </w:p>
    <w:p w14:paraId="34F3D2ED" w14:textId="13BECCDA" w:rsidR="00E40020" w:rsidRDefault="00E40020" w:rsidP="00164410">
      <w:pPr>
        <w:spacing w:after="0"/>
        <w:rPr>
          <w:i/>
          <w:iCs/>
          <w:sz w:val="20"/>
          <w:szCs w:val="20"/>
        </w:rPr>
      </w:pPr>
      <w:r>
        <w:rPr>
          <w:noProof/>
          <w14:ligatures w14:val="standardContextual"/>
        </w:rPr>
        <w:drawing>
          <wp:inline distT="0" distB="0" distL="0" distR="0" wp14:anchorId="19C570DC" wp14:editId="0B2D95D9">
            <wp:extent cx="5759450" cy="2880000"/>
            <wp:effectExtent l="0" t="0" r="12700" b="15875"/>
            <wp:docPr id="209433127" name="Graf 1">
              <a:extLst xmlns:a="http://schemas.openxmlformats.org/drawingml/2006/main">
                <a:ext uri="{FF2B5EF4-FFF2-40B4-BE49-F238E27FC236}">
                  <a16:creationId xmlns:a16="http://schemas.microsoft.com/office/drawing/2014/main" id="{7DB68CDF-18EE-4FFB-8E9D-CFFD68FBB2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D4C39C" w14:textId="60309614" w:rsidR="00FC2F8A" w:rsidRDefault="009F0F19" w:rsidP="007D4046">
      <w:pPr>
        <w:spacing w:after="0"/>
        <w:jc w:val="right"/>
        <w:rPr>
          <w:i/>
          <w:iCs/>
          <w:sz w:val="20"/>
          <w:szCs w:val="20"/>
        </w:rPr>
      </w:pPr>
      <w:proofErr w:type="spellStart"/>
      <w:r>
        <w:rPr>
          <w:i/>
          <w:iCs/>
          <w:sz w:val="20"/>
          <w:szCs w:val="20"/>
        </w:rPr>
        <w:t>Data</w:t>
      </w:r>
      <w:proofErr w:type="spellEnd"/>
      <w:r w:rsidR="0015483B">
        <w:rPr>
          <w:i/>
          <w:iCs/>
          <w:sz w:val="20"/>
          <w:szCs w:val="20"/>
        </w:rPr>
        <w:t xml:space="preserve">: </w:t>
      </w:r>
      <w:proofErr w:type="spellStart"/>
      <w:r w:rsidR="0015483B" w:rsidRPr="0015483B">
        <w:rPr>
          <w:i/>
          <w:iCs/>
          <w:sz w:val="20"/>
          <w:szCs w:val="20"/>
        </w:rPr>
        <w:t>Eurostat</w:t>
      </w:r>
      <w:proofErr w:type="spellEnd"/>
      <w:r w:rsidR="0015483B">
        <w:rPr>
          <w:i/>
          <w:iCs/>
          <w:sz w:val="20"/>
          <w:szCs w:val="20"/>
        </w:rPr>
        <w:t xml:space="preserve">; </w:t>
      </w:r>
      <w:r w:rsidR="0015483B" w:rsidRPr="0015483B">
        <w:rPr>
          <w:i/>
          <w:iCs/>
          <w:sz w:val="20"/>
          <w:szCs w:val="20"/>
        </w:rPr>
        <w:t>educ_uoe_grad07</w:t>
      </w:r>
      <w:r w:rsidR="0015483B">
        <w:rPr>
          <w:i/>
          <w:iCs/>
          <w:sz w:val="20"/>
          <w:szCs w:val="20"/>
        </w:rPr>
        <w:t xml:space="preserve">; </w:t>
      </w:r>
      <w:hyperlink r:id="rId19" w:history="1">
        <w:r w:rsidR="0015483B" w:rsidRPr="00174BD2">
          <w:rPr>
            <w:rStyle w:val="Hypertextovprepojenie"/>
            <w:i/>
            <w:iCs/>
            <w:sz w:val="20"/>
            <w:szCs w:val="20"/>
          </w:rPr>
          <w:t>https://doi.org/10.2908/EDUC_UOE_GRAD07</w:t>
        </w:r>
      </w:hyperlink>
    </w:p>
    <w:p w14:paraId="1A7071FC" w14:textId="3C506451" w:rsidR="0015483B" w:rsidRDefault="0015483B" w:rsidP="007D4046">
      <w:pPr>
        <w:jc w:val="right"/>
        <w:rPr>
          <w:i/>
          <w:iCs/>
          <w:sz w:val="20"/>
          <w:szCs w:val="20"/>
        </w:rPr>
      </w:pPr>
      <w:r>
        <w:rPr>
          <w:i/>
          <w:iCs/>
          <w:sz w:val="20"/>
          <w:szCs w:val="20"/>
        </w:rPr>
        <w:t xml:space="preserve">Note:  </w:t>
      </w:r>
      <w:r w:rsidR="00176260">
        <w:rPr>
          <w:i/>
          <w:iCs/>
          <w:sz w:val="20"/>
          <w:szCs w:val="20"/>
        </w:rPr>
        <w:t>RS(2014)</w:t>
      </w:r>
    </w:p>
    <w:p w14:paraId="49B93D6B" w14:textId="77777777" w:rsidR="00757D77" w:rsidRPr="00757D77" w:rsidRDefault="00757D77" w:rsidP="00757D77">
      <w:pPr>
        <w:jc w:val="both"/>
        <w:rPr>
          <w:lang w:val="en-GB"/>
        </w:rPr>
      </w:pPr>
      <w:r w:rsidRPr="00757D77">
        <w:rPr>
          <w:lang w:val="en-GB"/>
        </w:rPr>
        <w:t xml:space="preserve">Austria also has the highest number of researchers (in full-time equivalents) per one million inhabitants, reaching 6,705. It is followed by Germany (5,811) and Slovenia (5,352). In contrast, </w:t>
      </w:r>
      <w:r w:rsidRPr="00757D77">
        <w:rPr>
          <w:lang w:val="en-GB"/>
        </w:rPr>
        <w:lastRenderedPageBreak/>
        <w:t>the lowest numbers are observed in Bosnia and Herzegovina (535), Ukraine (580), and Montenegro (743).</w:t>
      </w:r>
    </w:p>
    <w:p w14:paraId="2911D8FB" w14:textId="78DDBC2B" w:rsidR="00757D77" w:rsidRPr="00757D77" w:rsidRDefault="00757D77" w:rsidP="007D4046">
      <w:pPr>
        <w:jc w:val="both"/>
        <w:rPr>
          <w:lang w:val="en-GB"/>
        </w:rPr>
      </w:pPr>
      <w:r w:rsidRPr="00757D77">
        <w:rPr>
          <w:lang w:val="en-GB"/>
        </w:rPr>
        <w:t>The highest relative increase since 2010 was recorded in Hungary (121.35%), Bulgaria (77.5%), and Serbia (56.29%). On the other hand, the smallest increases were seen in Moldova (1%), Romania (2.49%), and Montenegro (15.46%). Ukraine experienced a dramatic decline of 56.27%, which is undoubtedly linked to the Russian military invasion in 2022</w:t>
      </w:r>
      <w:r>
        <w:rPr>
          <w:lang w:val="en-GB"/>
        </w:rPr>
        <w:t>.</w:t>
      </w:r>
    </w:p>
    <w:p w14:paraId="47968F6D" w14:textId="7C42B0F0" w:rsidR="00134851" w:rsidRPr="00134851" w:rsidRDefault="00134851" w:rsidP="00134851">
      <w:pPr>
        <w:pStyle w:val="Popis"/>
        <w:keepNext/>
        <w:spacing w:after="120"/>
        <w:rPr>
          <w:b/>
          <w:bCs/>
          <w:i w:val="0"/>
          <w:iCs w:val="0"/>
          <w:color w:val="auto"/>
          <w:sz w:val="20"/>
          <w:szCs w:val="20"/>
        </w:rPr>
      </w:pPr>
      <w:bookmarkStart w:id="25" w:name="_Toc202166640"/>
      <w:proofErr w:type="spellStart"/>
      <w:r w:rsidRPr="00134851">
        <w:rPr>
          <w:b/>
          <w:bCs/>
          <w:i w:val="0"/>
          <w:iCs w:val="0"/>
          <w:color w:val="auto"/>
          <w:sz w:val="20"/>
          <w:szCs w:val="20"/>
        </w:rPr>
        <w:t>Graph</w:t>
      </w:r>
      <w:proofErr w:type="spellEnd"/>
      <w:r w:rsidRPr="00134851">
        <w:rPr>
          <w:b/>
          <w:bCs/>
          <w:i w:val="0"/>
          <w:iCs w:val="0"/>
          <w:color w:val="auto"/>
          <w:sz w:val="20"/>
          <w:szCs w:val="20"/>
        </w:rPr>
        <w:t xml:space="preserve">  </w:t>
      </w:r>
      <w:r w:rsidRPr="00134851">
        <w:rPr>
          <w:b/>
          <w:bCs/>
          <w:i w:val="0"/>
          <w:iCs w:val="0"/>
          <w:color w:val="auto"/>
          <w:sz w:val="20"/>
          <w:szCs w:val="20"/>
        </w:rPr>
        <w:fldChar w:fldCharType="begin"/>
      </w:r>
      <w:r w:rsidRPr="00134851">
        <w:rPr>
          <w:b/>
          <w:bCs/>
          <w:i w:val="0"/>
          <w:iCs w:val="0"/>
          <w:color w:val="auto"/>
          <w:sz w:val="20"/>
          <w:szCs w:val="20"/>
        </w:rPr>
        <w:instrText xml:space="preserve"> SEQ Graph_ \* ARABIC </w:instrText>
      </w:r>
      <w:r w:rsidRPr="00134851">
        <w:rPr>
          <w:b/>
          <w:bCs/>
          <w:i w:val="0"/>
          <w:iCs w:val="0"/>
          <w:color w:val="auto"/>
          <w:sz w:val="20"/>
          <w:szCs w:val="20"/>
        </w:rPr>
        <w:fldChar w:fldCharType="separate"/>
      </w:r>
      <w:r w:rsidR="00FE761C">
        <w:rPr>
          <w:b/>
          <w:bCs/>
          <w:i w:val="0"/>
          <w:iCs w:val="0"/>
          <w:noProof/>
          <w:color w:val="auto"/>
          <w:sz w:val="20"/>
          <w:szCs w:val="20"/>
        </w:rPr>
        <w:t>10</w:t>
      </w:r>
      <w:r w:rsidRPr="00134851">
        <w:rPr>
          <w:b/>
          <w:bCs/>
          <w:i w:val="0"/>
          <w:iCs w:val="0"/>
          <w:color w:val="auto"/>
          <w:sz w:val="20"/>
          <w:szCs w:val="20"/>
        </w:rPr>
        <w:fldChar w:fldCharType="end"/>
      </w:r>
      <w:r w:rsidRPr="00134851">
        <w:rPr>
          <w:b/>
          <w:bCs/>
          <w:i w:val="0"/>
          <w:iCs w:val="0"/>
          <w:color w:val="auto"/>
          <w:sz w:val="20"/>
          <w:szCs w:val="20"/>
        </w:rPr>
        <w:t xml:space="preserve"> </w:t>
      </w:r>
      <w:proofErr w:type="spellStart"/>
      <w:r w:rsidRPr="00134851">
        <w:rPr>
          <w:b/>
          <w:bCs/>
          <w:i w:val="0"/>
          <w:iCs w:val="0"/>
          <w:color w:val="auto"/>
          <w:sz w:val="20"/>
          <w:szCs w:val="20"/>
        </w:rPr>
        <w:t>Researchers</w:t>
      </w:r>
      <w:proofErr w:type="spellEnd"/>
      <w:r w:rsidRPr="00134851">
        <w:rPr>
          <w:b/>
          <w:bCs/>
          <w:i w:val="0"/>
          <w:iCs w:val="0"/>
          <w:color w:val="auto"/>
          <w:sz w:val="20"/>
          <w:szCs w:val="20"/>
        </w:rPr>
        <w:t xml:space="preserve"> per </w:t>
      </w:r>
      <w:proofErr w:type="spellStart"/>
      <w:r w:rsidRPr="00134851">
        <w:rPr>
          <w:b/>
          <w:bCs/>
          <w:i w:val="0"/>
          <w:iCs w:val="0"/>
          <w:color w:val="auto"/>
          <w:sz w:val="20"/>
          <w:szCs w:val="20"/>
        </w:rPr>
        <w:t>million</w:t>
      </w:r>
      <w:proofErr w:type="spellEnd"/>
      <w:r w:rsidRPr="00134851">
        <w:rPr>
          <w:b/>
          <w:bCs/>
          <w:i w:val="0"/>
          <w:iCs w:val="0"/>
          <w:color w:val="auto"/>
          <w:sz w:val="20"/>
          <w:szCs w:val="20"/>
        </w:rPr>
        <w:t xml:space="preserve"> </w:t>
      </w:r>
      <w:proofErr w:type="spellStart"/>
      <w:r w:rsidRPr="00134851">
        <w:rPr>
          <w:b/>
          <w:bCs/>
          <w:i w:val="0"/>
          <w:iCs w:val="0"/>
          <w:color w:val="auto"/>
          <w:sz w:val="20"/>
          <w:szCs w:val="20"/>
        </w:rPr>
        <w:t>ihnabitants</w:t>
      </w:r>
      <w:proofErr w:type="spellEnd"/>
      <w:r w:rsidRPr="00134851">
        <w:rPr>
          <w:b/>
          <w:bCs/>
          <w:i w:val="0"/>
          <w:iCs w:val="0"/>
          <w:color w:val="auto"/>
          <w:sz w:val="20"/>
          <w:szCs w:val="20"/>
        </w:rPr>
        <w:t xml:space="preserve"> (FTE)</w:t>
      </w:r>
      <w:bookmarkEnd w:id="25"/>
    </w:p>
    <w:p w14:paraId="4E27332F" w14:textId="6C6FFF08" w:rsidR="00FC2F8A" w:rsidRDefault="00994A2C" w:rsidP="00134851">
      <w:pPr>
        <w:spacing w:after="0"/>
        <w:rPr>
          <w:i/>
          <w:iCs/>
          <w:sz w:val="20"/>
          <w:szCs w:val="20"/>
        </w:rPr>
      </w:pPr>
      <w:r>
        <w:rPr>
          <w:noProof/>
          <w14:ligatures w14:val="standardContextual"/>
        </w:rPr>
        <w:drawing>
          <wp:inline distT="0" distB="0" distL="0" distR="0" wp14:anchorId="1F97D404" wp14:editId="658C3B55">
            <wp:extent cx="5759450" cy="2880000"/>
            <wp:effectExtent l="0" t="0" r="12700" b="15875"/>
            <wp:docPr id="944186289" name="Graf 1">
              <a:extLst xmlns:a="http://schemas.openxmlformats.org/drawingml/2006/main">
                <a:ext uri="{FF2B5EF4-FFF2-40B4-BE49-F238E27FC236}">
                  <a16:creationId xmlns:a16="http://schemas.microsoft.com/office/drawing/2014/main" id="{07FF59C5-990D-4879-9EE0-F25AB53D0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D37C4F" w14:textId="3913D5F3" w:rsidR="00B53B34" w:rsidRDefault="009F0F19" w:rsidP="007D4046">
      <w:pPr>
        <w:spacing w:after="0"/>
        <w:jc w:val="right"/>
        <w:rPr>
          <w:i/>
          <w:iCs/>
          <w:sz w:val="20"/>
          <w:szCs w:val="20"/>
        </w:rPr>
      </w:pPr>
      <w:proofErr w:type="spellStart"/>
      <w:r>
        <w:rPr>
          <w:i/>
          <w:iCs/>
          <w:sz w:val="20"/>
          <w:szCs w:val="20"/>
        </w:rPr>
        <w:t>Data</w:t>
      </w:r>
      <w:proofErr w:type="spellEnd"/>
      <w:r w:rsidR="00B53B34">
        <w:rPr>
          <w:i/>
          <w:iCs/>
          <w:sz w:val="20"/>
          <w:szCs w:val="20"/>
        </w:rPr>
        <w:t xml:space="preserve">: </w:t>
      </w:r>
      <w:r w:rsidR="00B53B34" w:rsidRPr="00B53B34">
        <w:rPr>
          <w:i/>
          <w:iCs/>
          <w:sz w:val="20"/>
          <w:szCs w:val="20"/>
        </w:rPr>
        <w:t>UNESCO</w:t>
      </w:r>
    </w:p>
    <w:p w14:paraId="3FA44233" w14:textId="126EF5AC" w:rsidR="00FC2F8A" w:rsidRDefault="00B53B34" w:rsidP="007D4046">
      <w:pPr>
        <w:jc w:val="right"/>
        <w:rPr>
          <w:i/>
          <w:iCs/>
          <w:sz w:val="20"/>
          <w:szCs w:val="20"/>
        </w:rPr>
      </w:pPr>
      <w:r w:rsidRPr="00B53B34">
        <w:rPr>
          <w:i/>
          <w:iCs/>
          <w:sz w:val="20"/>
          <w:szCs w:val="20"/>
        </w:rPr>
        <w:t>Note: ME(2011, 2019); BA (2012)</w:t>
      </w:r>
    </w:p>
    <w:p w14:paraId="2D4261E4" w14:textId="77777777" w:rsidR="004615FD" w:rsidRPr="004615FD" w:rsidRDefault="004615FD" w:rsidP="004615FD">
      <w:pPr>
        <w:jc w:val="both"/>
        <w:rPr>
          <w:lang w:val="en-GB"/>
        </w:rPr>
      </w:pPr>
      <w:r w:rsidRPr="004615FD">
        <w:rPr>
          <w:lang w:val="en-GB"/>
        </w:rPr>
        <w:t>One of the EU’s priorities is to increase the share of female researchers to at least 40%. In the Danube Region, eight countries have already met this target. The highest shares are observed in Serbia (52.47%), Montenegro (52.08%), and Moldova (50.87%). In contrast, the lowest shares are found in the Czech Republic (27.69%), Hungary (28.76%), and Germany (29.36%).</w:t>
      </w:r>
    </w:p>
    <w:p w14:paraId="33523A14" w14:textId="14880CAE" w:rsidR="004615FD" w:rsidRPr="004615FD" w:rsidRDefault="004615FD" w:rsidP="007D4046">
      <w:pPr>
        <w:jc w:val="both"/>
        <w:rPr>
          <w:lang w:val="en-GB"/>
        </w:rPr>
      </w:pPr>
      <w:r w:rsidRPr="004615FD">
        <w:rPr>
          <w:lang w:val="en-GB"/>
        </w:rPr>
        <w:t>Since 2010, the share of female researchers has increased in nine countries, while five countries have experienced a decline.</w:t>
      </w:r>
    </w:p>
    <w:p w14:paraId="0FE40E04" w14:textId="5E15D27B" w:rsidR="00F411F9" w:rsidRPr="00F411F9" w:rsidRDefault="00F411F9" w:rsidP="00F411F9">
      <w:pPr>
        <w:pStyle w:val="Popis"/>
        <w:keepNext/>
        <w:spacing w:after="120"/>
        <w:rPr>
          <w:b/>
          <w:bCs/>
          <w:i w:val="0"/>
          <w:iCs w:val="0"/>
          <w:color w:val="auto"/>
          <w:sz w:val="20"/>
          <w:szCs w:val="20"/>
        </w:rPr>
      </w:pPr>
      <w:bookmarkStart w:id="26" w:name="_Toc202166641"/>
      <w:proofErr w:type="spellStart"/>
      <w:r w:rsidRPr="00F411F9">
        <w:rPr>
          <w:b/>
          <w:bCs/>
          <w:i w:val="0"/>
          <w:iCs w:val="0"/>
          <w:color w:val="auto"/>
          <w:sz w:val="20"/>
          <w:szCs w:val="20"/>
        </w:rPr>
        <w:lastRenderedPageBreak/>
        <w:t>Graph</w:t>
      </w:r>
      <w:proofErr w:type="spellEnd"/>
      <w:r w:rsidRPr="00F411F9">
        <w:rPr>
          <w:b/>
          <w:bCs/>
          <w:i w:val="0"/>
          <w:iCs w:val="0"/>
          <w:color w:val="auto"/>
          <w:sz w:val="20"/>
          <w:szCs w:val="20"/>
        </w:rPr>
        <w:t xml:space="preserve">  </w:t>
      </w:r>
      <w:r w:rsidRPr="00F411F9">
        <w:rPr>
          <w:b/>
          <w:bCs/>
          <w:i w:val="0"/>
          <w:iCs w:val="0"/>
          <w:color w:val="auto"/>
          <w:sz w:val="20"/>
          <w:szCs w:val="20"/>
        </w:rPr>
        <w:fldChar w:fldCharType="begin"/>
      </w:r>
      <w:r w:rsidRPr="00F411F9">
        <w:rPr>
          <w:b/>
          <w:bCs/>
          <w:i w:val="0"/>
          <w:iCs w:val="0"/>
          <w:color w:val="auto"/>
          <w:sz w:val="20"/>
          <w:szCs w:val="20"/>
        </w:rPr>
        <w:instrText xml:space="preserve"> SEQ Graph_ \* ARABIC </w:instrText>
      </w:r>
      <w:r w:rsidRPr="00F411F9">
        <w:rPr>
          <w:b/>
          <w:bCs/>
          <w:i w:val="0"/>
          <w:iCs w:val="0"/>
          <w:color w:val="auto"/>
          <w:sz w:val="20"/>
          <w:szCs w:val="20"/>
        </w:rPr>
        <w:fldChar w:fldCharType="separate"/>
      </w:r>
      <w:r w:rsidR="00FE761C">
        <w:rPr>
          <w:b/>
          <w:bCs/>
          <w:i w:val="0"/>
          <w:iCs w:val="0"/>
          <w:noProof/>
          <w:color w:val="auto"/>
          <w:sz w:val="20"/>
          <w:szCs w:val="20"/>
        </w:rPr>
        <w:t>11</w:t>
      </w:r>
      <w:r w:rsidRPr="00F411F9">
        <w:rPr>
          <w:b/>
          <w:bCs/>
          <w:i w:val="0"/>
          <w:iCs w:val="0"/>
          <w:color w:val="auto"/>
          <w:sz w:val="20"/>
          <w:szCs w:val="20"/>
        </w:rPr>
        <w:fldChar w:fldCharType="end"/>
      </w:r>
      <w:r w:rsidRPr="00F411F9">
        <w:rPr>
          <w:b/>
          <w:bCs/>
          <w:i w:val="0"/>
          <w:iCs w:val="0"/>
          <w:color w:val="auto"/>
          <w:sz w:val="20"/>
          <w:szCs w:val="20"/>
        </w:rPr>
        <w:t xml:space="preserve"> </w:t>
      </w:r>
      <w:proofErr w:type="spellStart"/>
      <w:r w:rsidRPr="00F411F9">
        <w:rPr>
          <w:b/>
          <w:bCs/>
          <w:i w:val="0"/>
          <w:iCs w:val="0"/>
          <w:color w:val="auto"/>
          <w:sz w:val="20"/>
          <w:szCs w:val="20"/>
        </w:rPr>
        <w:t>Researchers</w:t>
      </w:r>
      <w:proofErr w:type="spellEnd"/>
      <w:r w:rsidRPr="00F411F9">
        <w:rPr>
          <w:b/>
          <w:bCs/>
          <w:i w:val="0"/>
          <w:iCs w:val="0"/>
          <w:color w:val="auto"/>
          <w:sz w:val="20"/>
          <w:szCs w:val="20"/>
        </w:rPr>
        <w:t xml:space="preserve"> - % </w:t>
      </w:r>
      <w:proofErr w:type="spellStart"/>
      <w:r w:rsidRPr="00F411F9">
        <w:rPr>
          <w:b/>
          <w:bCs/>
          <w:i w:val="0"/>
          <w:iCs w:val="0"/>
          <w:color w:val="auto"/>
          <w:sz w:val="20"/>
          <w:szCs w:val="20"/>
        </w:rPr>
        <w:t>Female</w:t>
      </w:r>
      <w:bookmarkEnd w:id="26"/>
      <w:proofErr w:type="spellEnd"/>
    </w:p>
    <w:p w14:paraId="25E3719A" w14:textId="215990D4" w:rsidR="00134851" w:rsidRDefault="00E83D34" w:rsidP="00D81C22">
      <w:pPr>
        <w:spacing w:after="0"/>
        <w:rPr>
          <w:i/>
          <w:iCs/>
          <w:sz w:val="20"/>
          <w:szCs w:val="20"/>
        </w:rPr>
      </w:pPr>
      <w:r>
        <w:rPr>
          <w:noProof/>
          <w14:ligatures w14:val="standardContextual"/>
        </w:rPr>
        <w:drawing>
          <wp:inline distT="0" distB="0" distL="0" distR="0" wp14:anchorId="0415DF20" wp14:editId="4FCD099D">
            <wp:extent cx="5759450" cy="2880000"/>
            <wp:effectExtent l="0" t="0" r="12700" b="15875"/>
            <wp:docPr id="1099493202" name="Graf 1">
              <a:extLst xmlns:a="http://schemas.openxmlformats.org/drawingml/2006/main">
                <a:ext uri="{FF2B5EF4-FFF2-40B4-BE49-F238E27FC236}">
                  <a16:creationId xmlns:a16="http://schemas.microsoft.com/office/drawing/2014/main" id="{DEE2D282-1852-4248-8EE2-B86A5B757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7D11A5" w14:textId="27B09CEE" w:rsidR="00D81C22" w:rsidRPr="00D81C22" w:rsidRDefault="009F0F19" w:rsidP="007D4046">
      <w:pPr>
        <w:spacing w:after="0"/>
        <w:jc w:val="right"/>
        <w:rPr>
          <w:i/>
          <w:iCs/>
          <w:sz w:val="20"/>
          <w:szCs w:val="20"/>
        </w:rPr>
      </w:pPr>
      <w:proofErr w:type="spellStart"/>
      <w:r>
        <w:rPr>
          <w:i/>
          <w:iCs/>
          <w:sz w:val="20"/>
          <w:szCs w:val="20"/>
        </w:rPr>
        <w:t>Data</w:t>
      </w:r>
      <w:proofErr w:type="spellEnd"/>
      <w:r w:rsidR="00D81C22">
        <w:rPr>
          <w:i/>
          <w:iCs/>
          <w:sz w:val="20"/>
          <w:szCs w:val="20"/>
        </w:rPr>
        <w:t xml:space="preserve">: </w:t>
      </w:r>
      <w:r w:rsidR="00D81C22" w:rsidRPr="00D81C22">
        <w:rPr>
          <w:i/>
          <w:iCs/>
          <w:sz w:val="20"/>
          <w:szCs w:val="20"/>
        </w:rPr>
        <w:t>UNESCO</w:t>
      </w:r>
    </w:p>
    <w:p w14:paraId="3F54C151" w14:textId="7DDECE86" w:rsidR="00D81C22" w:rsidRDefault="00D81C22" w:rsidP="007D4046">
      <w:pPr>
        <w:jc w:val="right"/>
        <w:rPr>
          <w:i/>
          <w:iCs/>
          <w:sz w:val="20"/>
          <w:szCs w:val="20"/>
        </w:rPr>
      </w:pPr>
      <w:r>
        <w:rPr>
          <w:i/>
          <w:iCs/>
          <w:sz w:val="20"/>
          <w:szCs w:val="20"/>
        </w:rPr>
        <w:t xml:space="preserve">Note: </w:t>
      </w:r>
      <w:r w:rsidRPr="00D81C22">
        <w:rPr>
          <w:i/>
          <w:iCs/>
          <w:sz w:val="20"/>
          <w:szCs w:val="20"/>
        </w:rPr>
        <w:t>ME(2011; 2019); BA (2012); AT, DE (2011, 2021)</w:t>
      </w:r>
    </w:p>
    <w:p w14:paraId="5BEFD3AB" w14:textId="77777777" w:rsidR="00FC2F8A" w:rsidRDefault="00FC2F8A" w:rsidP="00222D32">
      <w:pPr>
        <w:rPr>
          <w:i/>
          <w:iCs/>
          <w:sz w:val="20"/>
          <w:szCs w:val="20"/>
        </w:rPr>
      </w:pPr>
    </w:p>
    <w:p w14:paraId="3CF685B3" w14:textId="77777777" w:rsidR="00CD7ACA" w:rsidRPr="00CD7ACA" w:rsidRDefault="00CD7ACA" w:rsidP="00CD7ACA">
      <w:pPr>
        <w:pStyle w:val="Nadpis2"/>
        <w:numPr>
          <w:ilvl w:val="1"/>
          <w:numId w:val="1"/>
        </w:numPr>
        <w:spacing w:after="120"/>
        <w:rPr>
          <w:b/>
          <w:bCs/>
          <w:sz w:val="24"/>
          <w:szCs w:val="24"/>
          <w:lang w:val="en-GB"/>
        </w:rPr>
      </w:pPr>
      <w:bookmarkStart w:id="27" w:name="_Toc107413809"/>
      <w:bookmarkStart w:id="28" w:name="_Toc202166685"/>
      <w:r w:rsidRPr="00CD7ACA">
        <w:rPr>
          <w:b/>
          <w:bCs/>
          <w:sz w:val="24"/>
          <w:szCs w:val="24"/>
          <w:lang w:val="en-GB"/>
        </w:rPr>
        <w:t>Activities (cooperation between stakeholders and mobility)</w:t>
      </w:r>
      <w:bookmarkEnd w:id="27"/>
      <w:bookmarkEnd w:id="28"/>
    </w:p>
    <w:p w14:paraId="63693EFD" w14:textId="77777777" w:rsidR="007C19E4" w:rsidRPr="007C19E4" w:rsidRDefault="007C19E4" w:rsidP="007C19E4">
      <w:pPr>
        <w:jc w:val="both"/>
        <w:rPr>
          <w:lang w:val="en-GB"/>
        </w:rPr>
      </w:pPr>
      <w:r w:rsidRPr="007C19E4">
        <w:rPr>
          <w:lang w:val="en-GB"/>
        </w:rPr>
        <w:t>This section focuses primarily on collaboration among various innovation actors, as well as on their capacity to innovate.</w:t>
      </w:r>
    </w:p>
    <w:p w14:paraId="57A25A3B" w14:textId="77777777" w:rsidR="007C19E4" w:rsidRPr="007C19E4" w:rsidRDefault="007C19E4" w:rsidP="007C19E4">
      <w:pPr>
        <w:jc w:val="both"/>
        <w:rPr>
          <w:lang w:val="en-GB"/>
        </w:rPr>
      </w:pPr>
      <w:r w:rsidRPr="007C19E4">
        <w:rPr>
          <w:lang w:val="en-GB"/>
        </w:rPr>
        <w:t>The highest share of firms that implemented some form of innovation was recorded in Germany (63.4%), followed by Austria (56.7%) and Slovenia (55.4%). In contrast, the lowest shares were observed in Romania (8.8%), Bulgaria (26.1%), and Hungary (30.2%).</w:t>
      </w:r>
    </w:p>
    <w:p w14:paraId="14374EAF" w14:textId="7274232F" w:rsidR="000A62E5" w:rsidRPr="007C19E4" w:rsidRDefault="007C19E4" w:rsidP="00966EF0">
      <w:pPr>
        <w:jc w:val="both"/>
        <w:rPr>
          <w:lang w:val="en-GB"/>
        </w:rPr>
      </w:pPr>
      <w:r w:rsidRPr="007C19E4">
        <w:rPr>
          <w:lang w:val="en-GB"/>
        </w:rPr>
        <w:t>The most significant decline compared to 2012 occurred in Romania (a drop of 11.9 percentage points) and Germany (3.5 percentage points). Conversely, the largest increase was recorded in Slovenia (8.9 percentage points). In the remaining countries, a slight upward trend can be observed.</w:t>
      </w:r>
      <w:r w:rsidR="00D70D0D">
        <w:t xml:space="preserve"> </w:t>
      </w:r>
    </w:p>
    <w:p w14:paraId="781923B2" w14:textId="0FEB55FD" w:rsidR="003867DF" w:rsidRPr="00F7252D" w:rsidRDefault="003867DF" w:rsidP="009F0F19">
      <w:pPr>
        <w:pStyle w:val="Popis"/>
        <w:keepNext/>
        <w:spacing w:after="120"/>
        <w:rPr>
          <w:b/>
          <w:bCs/>
          <w:i w:val="0"/>
          <w:iCs w:val="0"/>
          <w:color w:val="auto"/>
          <w:sz w:val="20"/>
          <w:szCs w:val="20"/>
        </w:rPr>
      </w:pPr>
      <w:bookmarkStart w:id="29" w:name="_Toc202166642"/>
      <w:proofErr w:type="spellStart"/>
      <w:r w:rsidRPr="00F7252D">
        <w:rPr>
          <w:b/>
          <w:bCs/>
          <w:i w:val="0"/>
          <w:iCs w:val="0"/>
          <w:color w:val="auto"/>
          <w:sz w:val="20"/>
          <w:szCs w:val="20"/>
        </w:rPr>
        <w:lastRenderedPageBreak/>
        <w:t>Graph</w:t>
      </w:r>
      <w:proofErr w:type="spellEnd"/>
      <w:r w:rsidRPr="00F7252D">
        <w:rPr>
          <w:b/>
          <w:bCs/>
          <w:i w:val="0"/>
          <w:iCs w:val="0"/>
          <w:color w:val="auto"/>
          <w:sz w:val="20"/>
          <w:szCs w:val="20"/>
        </w:rPr>
        <w:t xml:space="preserve">  </w:t>
      </w:r>
      <w:r w:rsidRPr="00F7252D">
        <w:rPr>
          <w:b/>
          <w:bCs/>
          <w:i w:val="0"/>
          <w:iCs w:val="0"/>
          <w:color w:val="auto"/>
          <w:sz w:val="20"/>
          <w:szCs w:val="20"/>
        </w:rPr>
        <w:fldChar w:fldCharType="begin"/>
      </w:r>
      <w:r w:rsidRPr="00F7252D">
        <w:rPr>
          <w:b/>
          <w:bCs/>
          <w:i w:val="0"/>
          <w:iCs w:val="0"/>
          <w:color w:val="auto"/>
          <w:sz w:val="20"/>
          <w:szCs w:val="20"/>
        </w:rPr>
        <w:instrText xml:space="preserve"> SEQ Graph_ \* ARABIC </w:instrText>
      </w:r>
      <w:r w:rsidRPr="00F7252D">
        <w:rPr>
          <w:b/>
          <w:bCs/>
          <w:i w:val="0"/>
          <w:iCs w:val="0"/>
          <w:color w:val="auto"/>
          <w:sz w:val="20"/>
          <w:szCs w:val="20"/>
        </w:rPr>
        <w:fldChar w:fldCharType="separate"/>
      </w:r>
      <w:r w:rsidR="00FE761C" w:rsidRPr="00F7252D">
        <w:rPr>
          <w:b/>
          <w:bCs/>
          <w:i w:val="0"/>
          <w:iCs w:val="0"/>
          <w:noProof/>
          <w:color w:val="auto"/>
          <w:sz w:val="20"/>
          <w:szCs w:val="20"/>
        </w:rPr>
        <w:t>12</w:t>
      </w:r>
      <w:r w:rsidRPr="00F7252D">
        <w:rPr>
          <w:b/>
          <w:bCs/>
          <w:i w:val="0"/>
          <w:iCs w:val="0"/>
          <w:color w:val="auto"/>
          <w:sz w:val="20"/>
          <w:szCs w:val="20"/>
        </w:rPr>
        <w:fldChar w:fldCharType="end"/>
      </w:r>
      <w:r w:rsidRPr="00F7252D">
        <w:rPr>
          <w:b/>
          <w:bCs/>
          <w:i w:val="0"/>
          <w:iCs w:val="0"/>
          <w:color w:val="auto"/>
          <w:sz w:val="20"/>
          <w:szCs w:val="20"/>
        </w:rPr>
        <w:t xml:space="preserve"> </w:t>
      </w:r>
      <w:proofErr w:type="spellStart"/>
      <w:r w:rsidRPr="00F7252D">
        <w:rPr>
          <w:b/>
          <w:bCs/>
          <w:i w:val="0"/>
          <w:iCs w:val="0"/>
          <w:color w:val="auto"/>
          <w:sz w:val="20"/>
          <w:szCs w:val="20"/>
        </w:rPr>
        <w:t>Innovative</w:t>
      </w:r>
      <w:proofErr w:type="spellEnd"/>
      <w:r w:rsidRPr="00F7252D">
        <w:rPr>
          <w:b/>
          <w:bCs/>
          <w:i w:val="0"/>
          <w:iCs w:val="0"/>
          <w:color w:val="auto"/>
          <w:sz w:val="20"/>
          <w:szCs w:val="20"/>
        </w:rPr>
        <w:t xml:space="preserve"> </w:t>
      </w:r>
      <w:proofErr w:type="spellStart"/>
      <w:r w:rsidRPr="00F7252D">
        <w:rPr>
          <w:b/>
          <w:bCs/>
          <w:i w:val="0"/>
          <w:iCs w:val="0"/>
          <w:color w:val="auto"/>
          <w:sz w:val="20"/>
          <w:szCs w:val="20"/>
        </w:rPr>
        <w:t>companies</w:t>
      </w:r>
      <w:proofErr w:type="spellEnd"/>
      <w:r w:rsidRPr="00F7252D">
        <w:rPr>
          <w:b/>
          <w:bCs/>
          <w:i w:val="0"/>
          <w:iCs w:val="0"/>
          <w:color w:val="auto"/>
          <w:sz w:val="20"/>
          <w:szCs w:val="20"/>
        </w:rPr>
        <w:t xml:space="preserve"> (%)</w:t>
      </w:r>
      <w:bookmarkEnd w:id="29"/>
    </w:p>
    <w:p w14:paraId="6AB0A2E2" w14:textId="3D1CD562" w:rsidR="003867DF" w:rsidRPr="003867DF" w:rsidRDefault="003867DF" w:rsidP="003867DF">
      <w:pPr>
        <w:spacing w:after="0"/>
      </w:pPr>
      <w:r>
        <w:rPr>
          <w:noProof/>
          <w14:ligatures w14:val="standardContextual"/>
        </w:rPr>
        <w:drawing>
          <wp:inline distT="0" distB="0" distL="0" distR="0" wp14:anchorId="1632F83B" wp14:editId="06380D5A">
            <wp:extent cx="5759450" cy="2880000"/>
            <wp:effectExtent l="0" t="0" r="12700" b="15875"/>
            <wp:docPr id="17622307" name="Graf 1">
              <a:extLst xmlns:a="http://schemas.openxmlformats.org/drawingml/2006/main">
                <a:ext uri="{FF2B5EF4-FFF2-40B4-BE49-F238E27FC236}">
                  <a16:creationId xmlns:a16="http://schemas.microsoft.com/office/drawing/2014/main" id="{3B5E28E1-83D4-4C56-8CF6-741E4F58D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EE885E" w14:textId="61C2D922" w:rsidR="00FC2F8A" w:rsidRPr="00AF32E9" w:rsidRDefault="009F0F19" w:rsidP="009F0F19">
      <w:pPr>
        <w:jc w:val="right"/>
        <w:rPr>
          <w:i/>
          <w:iCs/>
          <w:sz w:val="20"/>
          <w:szCs w:val="20"/>
        </w:rPr>
      </w:pPr>
      <w:proofErr w:type="spellStart"/>
      <w:r>
        <w:rPr>
          <w:i/>
          <w:iCs/>
          <w:sz w:val="20"/>
          <w:szCs w:val="20"/>
        </w:rPr>
        <w:t>Data</w:t>
      </w:r>
      <w:proofErr w:type="spellEnd"/>
      <w:r w:rsidR="00AF32E9" w:rsidRPr="00AF32E9">
        <w:rPr>
          <w:i/>
          <w:iCs/>
          <w:sz w:val="20"/>
          <w:szCs w:val="20"/>
        </w:rPr>
        <w:t xml:space="preserve">: </w:t>
      </w:r>
      <w:proofErr w:type="spellStart"/>
      <w:r w:rsidR="00AF32E9" w:rsidRPr="00AF32E9">
        <w:rPr>
          <w:i/>
          <w:iCs/>
          <w:sz w:val="20"/>
          <w:szCs w:val="20"/>
        </w:rPr>
        <w:t>Eurostat</w:t>
      </w:r>
      <w:proofErr w:type="spellEnd"/>
      <w:r w:rsidR="00AF32E9" w:rsidRPr="00AF32E9">
        <w:rPr>
          <w:i/>
          <w:iCs/>
          <w:sz w:val="20"/>
          <w:szCs w:val="20"/>
        </w:rPr>
        <w:t>, INN_CIS11_BAS; INN_CIS8_TYPE;INN_CIS11_BAS</w:t>
      </w:r>
    </w:p>
    <w:p w14:paraId="474E88ED" w14:textId="77777777" w:rsidR="00C70F64" w:rsidRDefault="00C70F64" w:rsidP="009F0F19">
      <w:pPr>
        <w:jc w:val="both"/>
      </w:pPr>
    </w:p>
    <w:p w14:paraId="2CF88A88" w14:textId="77A79F04" w:rsidR="00C4222F" w:rsidRPr="00DF7731" w:rsidRDefault="00C70F64" w:rsidP="00DF7731">
      <w:pPr>
        <w:jc w:val="both"/>
        <w:rPr>
          <w:lang w:val="en-GB"/>
        </w:rPr>
      </w:pPr>
      <w:r w:rsidRPr="00C70F64">
        <w:rPr>
          <w:lang w:val="en-GB"/>
        </w:rPr>
        <w:t>The highest share of firms engaged in collaborative business activities with other entities within the Danube Region is observed in Croatia (31.9%), Slovenia (26.1%), and Hungary (24.3%). On the other hand, the lowest levels of such collaboration are found in Bulgaria (9.3%), Romania (11.9%), and Slovakia (18.3%). The most significant increase was recorded in Austria, with a rise of 5.1 percentage points.</w:t>
      </w:r>
    </w:p>
    <w:p w14:paraId="1ED87AFD" w14:textId="511F1E3E" w:rsidR="00744456" w:rsidRPr="00FE4039" w:rsidRDefault="00744456" w:rsidP="00744456">
      <w:pPr>
        <w:pStyle w:val="Popis"/>
        <w:keepNext/>
        <w:spacing w:after="0"/>
        <w:rPr>
          <w:b/>
          <w:bCs/>
          <w:i w:val="0"/>
          <w:iCs w:val="0"/>
          <w:color w:val="auto"/>
          <w:sz w:val="20"/>
          <w:szCs w:val="20"/>
        </w:rPr>
      </w:pPr>
      <w:bookmarkStart w:id="30" w:name="_Toc202166643"/>
      <w:proofErr w:type="spellStart"/>
      <w:r w:rsidRPr="00FE4039">
        <w:rPr>
          <w:b/>
          <w:bCs/>
          <w:i w:val="0"/>
          <w:iCs w:val="0"/>
          <w:color w:val="auto"/>
          <w:sz w:val="20"/>
          <w:szCs w:val="20"/>
        </w:rPr>
        <w:t>Graph</w:t>
      </w:r>
      <w:proofErr w:type="spellEnd"/>
      <w:r w:rsidRPr="00FE4039">
        <w:rPr>
          <w:b/>
          <w:bCs/>
          <w:i w:val="0"/>
          <w:iCs w:val="0"/>
          <w:color w:val="auto"/>
          <w:sz w:val="20"/>
          <w:szCs w:val="20"/>
        </w:rPr>
        <w:t xml:space="preserve">  </w:t>
      </w:r>
      <w:r w:rsidRPr="00FE4039">
        <w:rPr>
          <w:b/>
          <w:bCs/>
          <w:i w:val="0"/>
          <w:iCs w:val="0"/>
          <w:color w:val="auto"/>
          <w:sz w:val="20"/>
          <w:szCs w:val="20"/>
        </w:rPr>
        <w:fldChar w:fldCharType="begin"/>
      </w:r>
      <w:r w:rsidRPr="00FE4039">
        <w:rPr>
          <w:b/>
          <w:bCs/>
          <w:i w:val="0"/>
          <w:iCs w:val="0"/>
          <w:color w:val="auto"/>
          <w:sz w:val="20"/>
          <w:szCs w:val="20"/>
        </w:rPr>
        <w:instrText xml:space="preserve"> SEQ Graph_ \* ARABIC </w:instrText>
      </w:r>
      <w:r w:rsidRPr="00FE4039">
        <w:rPr>
          <w:b/>
          <w:bCs/>
          <w:i w:val="0"/>
          <w:iCs w:val="0"/>
          <w:color w:val="auto"/>
          <w:sz w:val="20"/>
          <w:szCs w:val="20"/>
        </w:rPr>
        <w:fldChar w:fldCharType="separate"/>
      </w:r>
      <w:r w:rsidR="00FE761C">
        <w:rPr>
          <w:b/>
          <w:bCs/>
          <w:i w:val="0"/>
          <w:iCs w:val="0"/>
          <w:noProof/>
          <w:color w:val="auto"/>
          <w:sz w:val="20"/>
          <w:szCs w:val="20"/>
        </w:rPr>
        <w:t>13</w:t>
      </w:r>
      <w:r w:rsidRPr="00FE4039">
        <w:rPr>
          <w:b/>
          <w:bCs/>
          <w:i w:val="0"/>
          <w:iCs w:val="0"/>
          <w:color w:val="auto"/>
          <w:sz w:val="20"/>
          <w:szCs w:val="20"/>
        </w:rPr>
        <w:fldChar w:fldCharType="end"/>
      </w:r>
      <w:r w:rsidRPr="00FE4039">
        <w:rPr>
          <w:b/>
          <w:bCs/>
          <w:i w:val="0"/>
          <w:iCs w:val="0"/>
          <w:color w:val="auto"/>
          <w:sz w:val="20"/>
          <w:szCs w:val="20"/>
        </w:rPr>
        <w:t xml:space="preserve"> Enterprises </w:t>
      </w:r>
      <w:proofErr w:type="spellStart"/>
      <w:r w:rsidRPr="00FE4039">
        <w:rPr>
          <w:b/>
          <w:bCs/>
          <w:i w:val="0"/>
          <w:iCs w:val="0"/>
          <w:color w:val="auto"/>
          <w:sz w:val="20"/>
          <w:szCs w:val="20"/>
        </w:rPr>
        <w:t>that</w:t>
      </w:r>
      <w:proofErr w:type="spellEnd"/>
      <w:r w:rsidRPr="00FE4039">
        <w:rPr>
          <w:b/>
          <w:bCs/>
          <w:i w:val="0"/>
          <w:iCs w:val="0"/>
          <w:color w:val="auto"/>
          <w:sz w:val="20"/>
          <w:szCs w:val="20"/>
        </w:rPr>
        <w:t xml:space="preserve"> </w:t>
      </w:r>
      <w:proofErr w:type="spellStart"/>
      <w:r w:rsidRPr="00FE4039">
        <w:rPr>
          <w:b/>
          <w:bCs/>
          <w:i w:val="0"/>
          <w:iCs w:val="0"/>
          <w:color w:val="auto"/>
          <w:sz w:val="20"/>
          <w:szCs w:val="20"/>
        </w:rPr>
        <w:t>co-operated</w:t>
      </w:r>
      <w:proofErr w:type="spellEnd"/>
      <w:r w:rsidRPr="00FE4039">
        <w:rPr>
          <w:b/>
          <w:bCs/>
          <w:i w:val="0"/>
          <w:iCs w:val="0"/>
          <w:color w:val="auto"/>
          <w:sz w:val="20"/>
          <w:szCs w:val="20"/>
        </w:rPr>
        <w:t xml:space="preserve"> on business </w:t>
      </w:r>
      <w:proofErr w:type="spellStart"/>
      <w:r w:rsidRPr="00FE4039">
        <w:rPr>
          <w:b/>
          <w:bCs/>
          <w:i w:val="0"/>
          <w:iCs w:val="0"/>
          <w:color w:val="auto"/>
          <w:sz w:val="20"/>
          <w:szCs w:val="20"/>
        </w:rPr>
        <w:t>activities</w:t>
      </w:r>
      <w:proofErr w:type="spellEnd"/>
      <w:r w:rsidRPr="00FE4039">
        <w:rPr>
          <w:b/>
          <w:bCs/>
          <w:i w:val="0"/>
          <w:iCs w:val="0"/>
          <w:color w:val="auto"/>
          <w:sz w:val="20"/>
          <w:szCs w:val="20"/>
        </w:rPr>
        <w:t xml:space="preserve"> </w:t>
      </w:r>
      <w:proofErr w:type="spellStart"/>
      <w:r w:rsidRPr="00FE4039">
        <w:rPr>
          <w:b/>
          <w:bCs/>
          <w:i w:val="0"/>
          <w:iCs w:val="0"/>
          <w:color w:val="auto"/>
          <w:sz w:val="20"/>
          <w:szCs w:val="20"/>
        </w:rPr>
        <w:t>with</w:t>
      </w:r>
      <w:proofErr w:type="spellEnd"/>
      <w:r w:rsidRPr="00FE4039">
        <w:rPr>
          <w:b/>
          <w:bCs/>
          <w:i w:val="0"/>
          <w:iCs w:val="0"/>
          <w:color w:val="auto"/>
          <w:sz w:val="20"/>
          <w:szCs w:val="20"/>
        </w:rPr>
        <w:t xml:space="preserve"> </w:t>
      </w:r>
      <w:proofErr w:type="spellStart"/>
      <w:r w:rsidRPr="00FE4039">
        <w:rPr>
          <w:b/>
          <w:bCs/>
          <w:i w:val="0"/>
          <w:iCs w:val="0"/>
          <w:color w:val="auto"/>
          <w:sz w:val="20"/>
          <w:szCs w:val="20"/>
        </w:rPr>
        <w:t>other</w:t>
      </w:r>
      <w:proofErr w:type="spellEnd"/>
      <w:r w:rsidRPr="00FE4039">
        <w:rPr>
          <w:b/>
          <w:bCs/>
          <w:i w:val="0"/>
          <w:iCs w:val="0"/>
          <w:color w:val="auto"/>
          <w:sz w:val="20"/>
          <w:szCs w:val="20"/>
        </w:rPr>
        <w:t xml:space="preserve"> </w:t>
      </w:r>
      <w:proofErr w:type="spellStart"/>
      <w:r w:rsidRPr="00FE4039">
        <w:rPr>
          <w:b/>
          <w:bCs/>
          <w:i w:val="0"/>
          <w:iCs w:val="0"/>
          <w:color w:val="auto"/>
          <w:sz w:val="20"/>
          <w:szCs w:val="20"/>
        </w:rPr>
        <w:t>entities</w:t>
      </w:r>
      <w:proofErr w:type="spellEnd"/>
      <w:r w:rsidRPr="00FE4039">
        <w:rPr>
          <w:b/>
          <w:bCs/>
          <w:i w:val="0"/>
          <w:iCs w:val="0"/>
          <w:noProof/>
          <w:color w:val="auto"/>
          <w:sz w:val="20"/>
          <w:szCs w:val="20"/>
        </w:rPr>
        <w:t xml:space="preserve"> (%)</w:t>
      </w:r>
      <w:bookmarkEnd w:id="30"/>
    </w:p>
    <w:p w14:paraId="288C4494" w14:textId="760CCFFF" w:rsidR="00C4222F" w:rsidRDefault="00C4222F" w:rsidP="00FE4039">
      <w:pPr>
        <w:spacing w:after="120"/>
        <w:rPr>
          <w:i/>
          <w:iCs/>
          <w:sz w:val="20"/>
          <w:szCs w:val="20"/>
        </w:rPr>
      </w:pPr>
      <w:r>
        <w:rPr>
          <w:noProof/>
          <w14:ligatures w14:val="standardContextual"/>
        </w:rPr>
        <w:drawing>
          <wp:inline distT="0" distB="0" distL="0" distR="0" wp14:anchorId="64946D35" wp14:editId="3077FD2A">
            <wp:extent cx="5759450" cy="2880000"/>
            <wp:effectExtent l="0" t="0" r="12700" b="15875"/>
            <wp:docPr id="1066061688" name="Graf 1">
              <a:extLst xmlns:a="http://schemas.openxmlformats.org/drawingml/2006/main">
                <a:ext uri="{FF2B5EF4-FFF2-40B4-BE49-F238E27FC236}">
                  <a16:creationId xmlns:a16="http://schemas.microsoft.com/office/drawing/2014/main" id="{ED4324DA-FAEF-4032-A48E-775345AFF6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3EE2E0" w14:textId="7EB13D45" w:rsidR="00644268" w:rsidRPr="00644268" w:rsidRDefault="009F0F19" w:rsidP="009F0F19">
      <w:pPr>
        <w:spacing w:after="0"/>
        <w:jc w:val="right"/>
        <w:rPr>
          <w:i/>
          <w:iCs/>
          <w:sz w:val="20"/>
          <w:szCs w:val="20"/>
        </w:rPr>
      </w:pPr>
      <w:proofErr w:type="spellStart"/>
      <w:r>
        <w:rPr>
          <w:i/>
          <w:iCs/>
          <w:sz w:val="20"/>
          <w:szCs w:val="20"/>
        </w:rPr>
        <w:t>Data</w:t>
      </w:r>
      <w:proofErr w:type="spellEnd"/>
      <w:r w:rsidR="00644268">
        <w:rPr>
          <w:i/>
          <w:iCs/>
          <w:sz w:val="20"/>
          <w:szCs w:val="20"/>
        </w:rPr>
        <w:t xml:space="preserve">: </w:t>
      </w:r>
      <w:proofErr w:type="spellStart"/>
      <w:r w:rsidR="00644268">
        <w:rPr>
          <w:i/>
          <w:iCs/>
          <w:sz w:val="20"/>
          <w:szCs w:val="20"/>
        </w:rPr>
        <w:t>Eurostat</w:t>
      </w:r>
      <w:proofErr w:type="spellEnd"/>
      <w:r w:rsidR="00644268">
        <w:rPr>
          <w:i/>
          <w:iCs/>
          <w:sz w:val="20"/>
          <w:szCs w:val="20"/>
        </w:rPr>
        <w:t xml:space="preserve">, </w:t>
      </w:r>
      <w:r w:rsidR="00644268" w:rsidRPr="00644268">
        <w:rPr>
          <w:i/>
          <w:iCs/>
          <w:sz w:val="20"/>
          <w:szCs w:val="20"/>
        </w:rPr>
        <w:t>inn_cis11_co</w:t>
      </w:r>
      <w:r w:rsidR="00644268">
        <w:rPr>
          <w:i/>
          <w:iCs/>
          <w:sz w:val="20"/>
          <w:szCs w:val="20"/>
        </w:rPr>
        <w:t xml:space="preserve">; </w:t>
      </w:r>
      <w:hyperlink r:id="rId24" w:history="1">
        <w:r w:rsidR="00644268" w:rsidRPr="00174BD2">
          <w:rPr>
            <w:rStyle w:val="Hypertextovprepojenie"/>
            <w:i/>
            <w:iCs/>
            <w:sz w:val="20"/>
            <w:szCs w:val="20"/>
          </w:rPr>
          <w:t>https://doi.org/10.2908/INN_CIS11_CO</w:t>
        </w:r>
      </w:hyperlink>
      <w:r w:rsidR="00644268">
        <w:rPr>
          <w:i/>
          <w:iCs/>
          <w:sz w:val="20"/>
          <w:szCs w:val="20"/>
        </w:rPr>
        <w:t xml:space="preserve">; </w:t>
      </w:r>
      <w:r w:rsidR="00644268" w:rsidRPr="00644268">
        <w:rPr>
          <w:i/>
          <w:iCs/>
          <w:sz w:val="20"/>
          <w:szCs w:val="20"/>
        </w:rPr>
        <w:t>inn_cis13_co</w:t>
      </w:r>
      <w:r w:rsidR="00644268">
        <w:rPr>
          <w:i/>
          <w:iCs/>
          <w:sz w:val="20"/>
          <w:szCs w:val="20"/>
        </w:rPr>
        <w:t xml:space="preserve">; </w:t>
      </w:r>
      <w:hyperlink r:id="rId25" w:history="1">
        <w:r w:rsidR="00644268" w:rsidRPr="00174BD2">
          <w:rPr>
            <w:rStyle w:val="Hypertextovprepojenie"/>
            <w:i/>
            <w:iCs/>
            <w:sz w:val="20"/>
            <w:szCs w:val="20"/>
          </w:rPr>
          <w:t>https://doi.org/10.2908/INN_CIS13_CO</w:t>
        </w:r>
      </w:hyperlink>
      <w:r w:rsidR="00644268">
        <w:rPr>
          <w:i/>
          <w:iCs/>
          <w:sz w:val="20"/>
          <w:szCs w:val="20"/>
        </w:rPr>
        <w:t xml:space="preserve"> </w:t>
      </w:r>
    </w:p>
    <w:p w14:paraId="36C3A441" w14:textId="189278EE" w:rsidR="00FC2F8A" w:rsidRDefault="00644268" w:rsidP="009F0F19">
      <w:pPr>
        <w:jc w:val="right"/>
        <w:rPr>
          <w:i/>
          <w:iCs/>
          <w:sz w:val="20"/>
          <w:szCs w:val="20"/>
        </w:rPr>
      </w:pPr>
      <w:r w:rsidRPr="00644268">
        <w:rPr>
          <w:i/>
          <w:iCs/>
          <w:sz w:val="20"/>
          <w:szCs w:val="20"/>
        </w:rPr>
        <w:t>Note: NL(2018-N/A)</w:t>
      </w:r>
    </w:p>
    <w:p w14:paraId="0313F041" w14:textId="77777777" w:rsidR="00F5480A" w:rsidRDefault="00F5480A" w:rsidP="009F0F19">
      <w:pPr>
        <w:jc w:val="both"/>
      </w:pPr>
    </w:p>
    <w:p w14:paraId="3EB44149" w14:textId="5F3BFDF9" w:rsidR="00F5480A" w:rsidRPr="00F5480A" w:rsidRDefault="00F5480A" w:rsidP="00F5480A">
      <w:pPr>
        <w:jc w:val="both"/>
        <w:rPr>
          <w:lang w:val="en-GB"/>
        </w:rPr>
      </w:pPr>
      <w:r w:rsidRPr="00F5480A">
        <w:rPr>
          <w:lang w:val="en-GB"/>
        </w:rPr>
        <w:lastRenderedPageBreak/>
        <w:t xml:space="preserve">Access to venture capital is one of the fundamental prerequisites for financing innovative companies. This is also one of the indicators where the EU significantly </w:t>
      </w:r>
      <w:proofErr w:type="gramStart"/>
      <w:r w:rsidR="00D358BE" w:rsidRPr="00F5480A">
        <w:rPr>
          <w:lang w:val="en-GB"/>
        </w:rPr>
        <w:t>lags</w:t>
      </w:r>
      <w:r w:rsidRPr="00F5480A">
        <w:rPr>
          <w:lang w:val="en-GB"/>
        </w:rPr>
        <w:t xml:space="preserve"> </w:t>
      </w:r>
      <w:r w:rsidR="009A2697">
        <w:rPr>
          <w:lang w:val="en-GB"/>
        </w:rPr>
        <w:t>behind</w:t>
      </w:r>
      <w:proofErr w:type="gramEnd"/>
      <w:r w:rsidR="009A2697">
        <w:rPr>
          <w:lang w:val="en-GB"/>
        </w:rPr>
        <w:t xml:space="preserve"> </w:t>
      </w:r>
      <w:r w:rsidRPr="00F5480A">
        <w:rPr>
          <w:lang w:val="en-GB"/>
        </w:rPr>
        <w:t>the United States. Across the EU, Estonia stands out with the highest venture capital investment, reaching 1% of GDP.</w:t>
      </w:r>
    </w:p>
    <w:p w14:paraId="7933C845" w14:textId="24327151" w:rsidR="00F5480A" w:rsidRPr="00F5480A" w:rsidRDefault="00F5480A" w:rsidP="009F0F19">
      <w:pPr>
        <w:jc w:val="both"/>
        <w:rPr>
          <w:lang w:val="en-GB"/>
        </w:rPr>
      </w:pPr>
      <w:r w:rsidRPr="00F5480A">
        <w:rPr>
          <w:lang w:val="en-GB"/>
        </w:rPr>
        <w:t>Among the countries of the Danube Region, Germany performs best (0.17% of GDP</w:t>
      </w:r>
      <w:proofErr w:type="gramStart"/>
      <w:r w:rsidRPr="00F5480A">
        <w:rPr>
          <w:lang w:val="en-GB"/>
        </w:rPr>
        <w:t>), and</w:t>
      </w:r>
      <w:proofErr w:type="gramEnd"/>
      <w:r w:rsidRPr="00F5480A">
        <w:rPr>
          <w:lang w:val="en-GB"/>
        </w:rPr>
        <w:t xml:space="preserve"> is the only country in the region above the EU average. It is followed by the Czech Republic (0.15%) and Austria (0.11%). The lowest levels of venture capital investment are observed in Moldova (0.02%), Romania, Serbia, and Slovakia (each at 0.03%).</w:t>
      </w:r>
    </w:p>
    <w:p w14:paraId="314D054F" w14:textId="5706543A" w:rsidR="00D12EC1" w:rsidRPr="00D12EC1" w:rsidRDefault="00D12EC1" w:rsidP="00D12EC1">
      <w:pPr>
        <w:pStyle w:val="Popis"/>
        <w:keepNext/>
        <w:spacing w:after="120"/>
        <w:rPr>
          <w:b/>
          <w:bCs/>
          <w:i w:val="0"/>
          <w:iCs w:val="0"/>
          <w:color w:val="auto"/>
          <w:sz w:val="20"/>
          <w:szCs w:val="20"/>
        </w:rPr>
      </w:pPr>
      <w:bookmarkStart w:id="31" w:name="_Toc202166644"/>
      <w:proofErr w:type="spellStart"/>
      <w:r w:rsidRPr="00D12EC1">
        <w:rPr>
          <w:b/>
          <w:bCs/>
          <w:i w:val="0"/>
          <w:iCs w:val="0"/>
          <w:color w:val="auto"/>
          <w:sz w:val="20"/>
          <w:szCs w:val="20"/>
        </w:rPr>
        <w:t>Graph</w:t>
      </w:r>
      <w:proofErr w:type="spellEnd"/>
      <w:r w:rsidRPr="00D12EC1">
        <w:rPr>
          <w:b/>
          <w:bCs/>
          <w:i w:val="0"/>
          <w:iCs w:val="0"/>
          <w:color w:val="auto"/>
          <w:sz w:val="20"/>
          <w:szCs w:val="20"/>
        </w:rPr>
        <w:t xml:space="preserve">  </w:t>
      </w:r>
      <w:r w:rsidRPr="00D12EC1">
        <w:rPr>
          <w:b/>
          <w:bCs/>
          <w:i w:val="0"/>
          <w:iCs w:val="0"/>
          <w:color w:val="auto"/>
          <w:sz w:val="20"/>
          <w:szCs w:val="20"/>
        </w:rPr>
        <w:fldChar w:fldCharType="begin"/>
      </w:r>
      <w:r w:rsidRPr="00D12EC1">
        <w:rPr>
          <w:b/>
          <w:bCs/>
          <w:i w:val="0"/>
          <w:iCs w:val="0"/>
          <w:color w:val="auto"/>
          <w:sz w:val="20"/>
          <w:szCs w:val="20"/>
        </w:rPr>
        <w:instrText xml:space="preserve"> SEQ Graph_ \* ARABIC </w:instrText>
      </w:r>
      <w:r w:rsidRPr="00D12EC1">
        <w:rPr>
          <w:b/>
          <w:bCs/>
          <w:i w:val="0"/>
          <w:iCs w:val="0"/>
          <w:color w:val="auto"/>
          <w:sz w:val="20"/>
          <w:szCs w:val="20"/>
        </w:rPr>
        <w:fldChar w:fldCharType="separate"/>
      </w:r>
      <w:r w:rsidR="00FE761C">
        <w:rPr>
          <w:b/>
          <w:bCs/>
          <w:i w:val="0"/>
          <w:iCs w:val="0"/>
          <w:noProof/>
          <w:color w:val="auto"/>
          <w:sz w:val="20"/>
          <w:szCs w:val="20"/>
        </w:rPr>
        <w:t>14</w:t>
      </w:r>
      <w:r w:rsidRPr="00D12EC1">
        <w:rPr>
          <w:b/>
          <w:bCs/>
          <w:i w:val="0"/>
          <w:iCs w:val="0"/>
          <w:color w:val="auto"/>
          <w:sz w:val="20"/>
          <w:szCs w:val="20"/>
        </w:rPr>
        <w:fldChar w:fldCharType="end"/>
      </w:r>
      <w:r w:rsidRPr="00D12EC1">
        <w:rPr>
          <w:b/>
          <w:bCs/>
          <w:i w:val="0"/>
          <w:iCs w:val="0"/>
          <w:color w:val="auto"/>
          <w:sz w:val="20"/>
          <w:szCs w:val="20"/>
        </w:rPr>
        <w:t xml:space="preserve"> </w:t>
      </w:r>
      <w:proofErr w:type="spellStart"/>
      <w:r w:rsidRPr="00D12EC1">
        <w:rPr>
          <w:b/>
          <w:bCs/>
          <w:i w:val="0"/>
          <w:iCs w:val="0"/>
          <w:color w:val="auto"/>
          <w:sz w:val="20"/>
          <w:szCs w:val="20"/>
        </w:rPr>
        <w:t>Venture</w:t>
      </w:r>
      <w:proofErr w:type="spellEnd"/>
      <w:r w:rsidRPr="00D12EC1">
        <w:rPr>
          <w:b/>
          <w:bCs/>
          <w:i w:val="0"/>
          <w:iCs w:val="0"/>
          <w:color w:val="auto"/>
          <w:sz w:val="20"/>
          <w:szCs w:val="20"/>
        </w:rPr>
        <w:t xml:space="preserve"> </w:t>
      </w:r>
      <w:proofErr w:type="spellStart"/>
      <w:r w:rsidRPr="00D12EC1">
        <w:rPr>
          <w:b/>
          <w:bCs/>
          <w:i w:val="0"/>
          <w:iCs w:val="0"/>
          <w:color w:val="auto"/>
          <w:sz w:val="20"/>
          <w:szCs w:val="20"/>
        </w:rPr>
        <w:t>capital</w:t>
      </w:r>
      <w:proofErr w:type="spellEnd"/>
      <w:r w:rsidRPr="00D12EC1">
        <w:rPr>
          <w:b/>
          <w:bCs/>
          <w:i w:val="0"/>
          <w:iCs w:val="0"/>
          <w:color w:val="auto"/>
          <w:sz w:val="20"/>
          <w:szCs w:val="20"/>
        </w:rPr>
        <w:t xml:space="preserve"> </w:t>
      </w:r>
      <w:proofErr w:type="spellStart"/>
      <w:r w:rsidRPr="00D12EC1">
        <w:rPr>
          <w:b/>
          <w:bCs/>
          <w:i w:val="0"/>
          <w:iCs w:val="0"/>
          <w:color w:val="auto"/>
          <w:sz w:val="20"/>
          <w:szCs w:val="20"/>
        </w:rPr>
        <w:t>expenditures</w:t>
      </w:r>
      <w:proofErr w:type="spellEnd"/>
      <w:r w:rsidRPr="00D12EC1">
        <w:rPr>
          <w:b/>
          <w:bCs/>
          <w:i w:val="0"/>
          <w:iCs w:val="0"/>
          <w:color w:val="auto"/>
          <w:sz w:val="20"/>
          <w:szCs w:val="20"/>
        </w:rPr>
        <w:t xml:space="preserve"> (% of GDP)</w:t>
      </w:r>
      <w:bookmarkEnd w:id="31"/>
    </w:p>
    <w:p w14:paraId="28DBE4A1" w14:textId="31AE1021" w:rsidR="00FC2F8A" w:rsidRDefault="00DA4C64" w:rsidP="00D12EC1">
      <w:pPr>
        <w:spacing w:after="0"/>
        <w:rPr>
          <w:i/>
          <w:iCs/>
          <w:sz w:val="20"/>
          <w:szCs w:val="20"/>
        </w:rPr>
      </w:pPr>
      <w:r>
        <w:rPr>
          <w:noProof/>
          <w14:ligatures w14:val="standardContextual"/>
        </w:rPr>
        <w:drawing>
          <wp:inline distT="0" distB="0" distL="0" distR="0" wp14:anchorId="7DAD832C" wp14:editId="76EDC50F">
            <wp:extent cx="5759450" cy="2880000"/>
            <wp:effectExtent l="0" t="0" r="12700" b="15875"/>
            <wp:docPr id="587307887" name="Graf 1">
              <a:extLst xmlns:a="http://schemas.openxmlformats.org/drawingml/2006/main">
                <a:ext uri="{FF2B5EF4-FFF2-40B4-BE49-F238E27FC236}">
                  <a16:creationId xmlns:a16="http://schemas.microsoft.com/office/drawing/2014/main" id="{4636C99B-D45B-4E0C-85FF-8B8528A22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9FF15E" w14:textId="37FB95A4" w:rsidR="0096697A" w:rsidRDefault="0096697A" w:rsidP="009F0F19">
      <w:pPr>
        <w:spacing w:after="0"/>
        <w:jc w:val="right"/>
        <w:rPr>
          <w:i/>
          <w:iCs/>
          <w:sz w:val="20"/>
          <w:szCs w:val="20"/>
        </w:rPr>
      </w:pPr>
      <w:proofErr w:type="spellStart"/>
      <w:r>
        <w:rPr>
          <w:i/>
          <w:iCs/>
          <w:sz w:val="20"/>
          <w:szCs w:val="20"/>
        </w:rPr>
        <w:t>Source</w:t>
      </w:r>
      <w:proofErr w:type="spellEnd"/>
      <w:r>
        <w:rPr>
          <w:i/>
          <w:iCs/>
          <w:sz w:val="20"/>
          <w:szCs w:val="20"/>
        </w:rPr>
        <w:t>: EIS 2024</w:t>
      </w:r>
    </w:p>
    <w:p w14:paraId="782ED145" w14:textId="4A7E4814" w:rsidR="00FC2F8A" w:rsidRDefault="00DA4C64" w:rsidP="009F0F19">
      <w:pPr>
        <w:jc w:val="right"/>
        <w:rPr>
          <w:i/>
          <w:iCs/>
          <w:sz w:val="20"/>
          <w:szCs w:val="20"/>
        </w:rPr>
      </w:pPr>
      <w:r>
        <w:rPr>
          <w:i/>
          <w:iCs/>
          <w:sz w:val="20"/>
          <w:szCs w:val="20"/>
        </w:rPr>
        <w:t xml:space="preserve">Note: </w:t>
      </w:r>
      <w:r w:rsidRPr="00DA4C64">
        <w:rPr>
          <w:i/>
          <w:iCs/>
          <w:sz w:val="20"/>
          <w:szCs w:val="20"/>
        </w:rPr>
        <w:t>MD (2021); UA, UK (2023)</w:t>
      </w:r>
      <w:r>
        <w:rPr>
          <w:i/>
          <w:iCs/>
          <w:sz w:val="20"/>
          <w:szCs w:val="20"/>
        </w:rPr>
        <w:t xml:space="preserve">; </w:t>
      </w:r>
      <w:r w:rsidRPr="00DA4C64">
        <w:rPr>
          <w:i/>
          <w:iCs/>
          <w:sz w:val="20"/>
          <w:szCs w:val="20"/>
        </w:rPr>
        <w:t>BA (N/A)</w:t>
      </w:r>
    </w:p>
    <w:p w14:paraId="43823142" w14:textId="77777777" w:rsidR="00206D81" w:rsidRDefault="00206D81" w:rsidP="007549FC">
      <w:pPr>
        <w:jc w:val="both"/>
      </w:pPr>
    </w:p>
    <w:p w14:paraId="437BA6C9" w14:textId="5F8C6972" w:rsidR="00206D81" w:rsidRPr="00206D81" w:rsidRDefault="00206D81" w:rsidP="00206D81">
      <w:pPr>
        <w:jc w:val="both"/>
        <w:rPr>
          <w:lang w:val="en-GB"/>
        </w:rPr>
      </w:pPr>
      <w:r w:rsidRPr="00206D81">
        <w:rPr>
          <w:lang w:val="en-GB"/>
        </w:rPr>
        <w:t xml:space="preserve">The ability of research institutions, universities, and companies to succeed in international competition for research and innovation funding depends largely on their quality. </w:t>
      </w:r>
      <w:r w:rsidR="00253BFC">
        <w:rPr>
          <w:lang w:val="en-GB"/>
        </w:rPr>
        <w:t>Horizon Europe</w:t>
      </w:r>
      <w:r w:rsidRPr="00206D81">
        <w:rPr>
          <w:lang w:val="en-GB"/>
        </w:rPr>
        <w:t xml:space="preserve"> </w:t>
      </w:r>
      <w:r w:rsidR="00253BFC">
        <w:rPr>
          <w:lang w:val="en-GB"/>
        </w:rPr>
        <w:t>is</w:t>
      </w:r>
      <w:r w:rsidRPr="00206D81">
        <w:rPr>
          <w:lang w:val="en-GB"/>
        </w:rPr>
        <w:t xml:space="preserve"> among the most competitive funding schemes globally. Success rates consistently remain well below 20%, and only the highest-performing institutions from Europe and beyond </w:t>
      </w:r>
      <w:proofErr w:type="gramStart"/>
      <w:r w:rsidRPr="00206D81">
        <w:rPr>
          <w:lang w:val="en-GB"/>
        </w:rPr>
        <w:t>are able to</w:t>
      </w:r>
      <w:proofErr w:type="gramEnd"/>
      <w:r w:rsidRPr="00206D81">
        <w:rPr>
          <w:lang w:val="en-GB"/>
        </w:rPr>
        <w:t xml:space="preserve"> secure funding.</w:t>
      </w:r>
    </w:p>
    <w:p w14:paraId="79BA52D8" w14:textId="77777777" w:rsidR="00206D81" w:rsidRPr="00206D81" w:rsidRDefault="00206D81" w:rsidP="00206D81">
      <w:pPr>
        <w:jc w:val="both"/>
        <w:rPr>
          <w:lang w:val="en-GB"/>
        </w:rPr>
      </w:pPr>
      <w:r w:rsidRPr="00206D81">
        <w:rPr>
          <w:lang w:val="en-GB"/>
        </w:rPr>
        <w:t>Under the current framework programme – Horizon Europe – Germany is the most successful country in the Danube Region in quantitative terms, having secured €7.3 billion to date. It is followed by Austria (€1.14 billion) and the Czech Republic (€517 million). On the other end of the spectrum, the smallest contributions from the European Commission were awarded to Montenegro (€4.45 million), Moldova (€6.48 million), and Bosnia and Herzegovina (€9.15 million).</w:t>
      </w:r>
    </w:p>
    <w:p w14:paraId="7C0922E6" w14:textId="77777777" w:rsidR="00206D81" w:rsidRPr="00206D81" w:rsidRDefault="00206D81" w:rsidP="00206D81">
      <w:pPr>
        <w:jc w:val="both"/>
        <w:rPr>
          <w:lang w:val="en-GB"/>
        </w:rPr>
      </w:pPr>
      <w:r w:rsidRPr="00206D81">
        <w:rPr>
          <w:lang w:val="en-GB"/>
        </w:rPr>
        <w:t>In terms of the distribution of EC contributions, a clear divide can be observed between EU Member States and non-member countries in the region. The only non-EU country to receive more than €100 million is Serbia (€122.28 million).</w:t>
      </w:r>
    </w:p>
    <w:p w14:paraId="037A47BA" w14:textId="2A99F8A5" w:rsidR="00206D81" w:rsidRPr="00206D81" w:rsidRDefault="00206D81" w:rsidP="007549FC">
      <w:pPr>
        <w:jc w:val="both"/>
        <w:rPr>
          <w:lang w:val="en-GB"/>
        </w:rPr>
      </w:pPr>
      <w:r w:rsidRPr="00206D81">
        <w:rPr>
          <w:lang w:val="en-GB"/>
        </w:rPr>
        <w:t>Germany also leads in the number of project participations (11,570), followed by Austria (2,972) and the Czech Republic (1,429). The lowest numbers of participations are recorded in Montenegro (32), Bosnia and Herzegovina (55), and Moldova (66).</w:t>
      </w:r>
    </w:p>
    <w:p w14:paraId="0E164821" w14:textId="7BE4020A" w:rsidR="00A94E6F" w:rsidRPr="00A94E6F" w:rsidRDefault="00A94E6F" w:rsidP="00A94E6F">
      <w:pPr>
        <w:pStyle w:val="Popis"/>
        <w:keepNext/>
        <w:rPr>
          <w:b/>
          <w:bCs/>
          <w:i w:val="0"/>
          <w:iCs w:val="0"/>
          <w:color w:val="auto"/>
          <w:sz w:val="20"/>
          <w:szCs w:val="20"/>
        </w:rPr>
      </w:pPr>
      <w:bookmarkStart w:id="32" w:name="_Toc202166645"/>
      <w:proofErr w:type="spellStart"/>
      <w:r w:rsidRPr="00A94E6F">
        <w:rPr>
          <w:b/>
          <w:bCs/>
          <w:i w:val="0"/>
          <w:iCs w:val="0"/>
          <w:color w:val="auto"/>
          <w:sz w:val="20"/>
          <w:szCs w:val="20"/>
        </w:rPr>
        <w:lastRenderedPageBreak/>
        <w:t>Graph</w:t>
      </w:r>
      <w:proofErr w:type="spellEnd"/>
      <w:r w:rsidRPr="00A94E6F">
        <w:rPr>
          <w:b/>
          <w:bCs/>
          <w:i w:val="0"/>
          <w:iCs w:val="0"/>
          <w:color w:val="auto"/>
          <w:sz w:val="20"/>
          <w:szCs w:val="20"/>
        </w:rPr>
        <w:t xml:space="preserve">  </w:t>
      </w:r>
      <w:r w:rsidRPr="00A94E6F">
        <w:rPr>
          <w:b/>
          <w:bCs/>
          <w:i w:val="0"/>
          <w:iCs w:val="0"/>
          <w:color w:val="auto"/>
          <w:sz w:val="20"/>
          <w:szCs w:val="20"/>
        </w:rPr>
        <w:fldChar w:fldCharType="begin"/>
      </w:r>
      <w:r w:rsidRPr="00A94E6F">
        <w:rPr>
          <w:b/>
          <w:bCs/>
          <w:i w:val="0"/>
          <w:iCs w:val="0"/>
          <w:color w:val="auto"/>
          <w:sz w:val="20"/>
          <w:szCs w:val="20"/>
        </w:rPr>
        <w:instrText xml:space="preserve"> SEQ Graph_ \* ARABIC </w:instrText>
      </w:r>
      <w:r w:rsidRPr="00A94E6F">
        <w:rPr>
          <w:b/>
          <w:bCs/>
          <w:i w:val="0"/>
          <w:iCs w:val="0"/>
          <w:color w:val="auto"/>
          <w:sz w:val="20"/>
          <w:szCs w:val="20"/>
        </w:rPr>
        <w:fldChar w:fldCharType="separate"/>
      </w:r>
      <w:r w:rsidR="00FE761C">
        <w:rPr>
          <w:b/>
          <w:bCs/>
          <w:i w:val="0"/>
          <w:iCs w:val="0"/>
          <w:noProof/>
          <w:color w:val="auto"/>
          <w:sz w:val="20"/>
          <w:szCs w:val="20"/>
        </w:rPr>
        <w:t>15</w:t>
      </w:r>
      <w:r w:rsidRPr="00A94E6F">
        <w:rPr>
          <w:b/>
          <w:bCs/>
          <w:i w:val="0"/>
          <w:iCs w:val="0"/>
          <w:color w:val="auto"/>
          <w:sz w:val="20"/>
          <w:szCs w:val="20"/>
        </w:rPr>
        <w:fldChar w:fldCharType="end"/>
      </w:r>
      <w:r w:rsidRPr="00A94E6F">
        <w:rPr>
          <w:b/>
          <w:bCs/>
          <w:i w:val="0"/>
          <w:iCs w:val="0"/>
          <w:color w:val="auto"/>
          <w:sz w:val="20"/>
          <w:szCs w:val="20"/>
        </w:rPr>
        <w:t xml:space="preserve"> EU </w:t>
      </w:r>
      <w:proofErr w:type="spellStart"/>
      <w:r w:rsidRPr="00A94E6F">
        <w:rPr>
          <w:b/>
          <w:bCs/>
          <w:i w:val="0"/>
          <w:iCs w:val="0"/>
          <w:color w:val="auto"/>
          <w:sz w:val="20"/>
          <w:szCs w:val="20"/>
        </w:rPr>
        <w:t>contribution</w:t>
      </w:r>
      <w:proofErr w:type="spellEnd"/>
      <w:r w:rsidRPr="00A94E6F">
        <w:rPr>
          <w:b/>
          <w:bCs/>
          <w:i w:val="0"/>
          <w:iCs w:val="0"/>
          <w:color w:val="auto"/>
          <w:sz w:val="20"/>
          <w:szCs w:val="20"/>
        </w:rPr>
        <w:t xml:space="preserve"> and </w:t>
      </w:r>
      <w:proofErr w:type="spellStart"/>
      <w:r w:rsidRPr="00A94E6F">
        <w:rPr>
          <w:b/>
          <w:bCs/>
          <w:i w:val="0"/>
          <w:iCs w:val="0"/>
          <w:color w:val="auto"/>
          <w:sz w:val="20"/>
          <w:szCs w:val="20"/>
        </w:rPr>
        <w:t>participation</w:t>
      </w:r>
      <w:proofErr w:type="spellEnd"/>
      <w:r w:rsidRPr="00A94E6F">
        <w:rPr>
          <w:b/>
          <w:bCs/>
          <w:i w:val="0"/>
          <w:iCs w:val="0"/>
          <w:color w:val="auto"/>
          <w:sz w:val="20"/>
          <w:szCs w:val="20"/>
        </w:rPr>
        <w:t xml:space="preserve"> in </w:t>
      </w:r>
      <w:proofErr w:type="spellStart"/>
      <w:r w:rsidRPr="00A94E6F">
        <w:rPr>
          <w:b/>
          <w:bCs/>
          <w:i w:val="0"/>
          <w:iCs w:val="0"/>
          <w:color w:val="auto"/>
          <w:sz w:val="20"/>
          <w:szCs w:val="20"/>
        </w:rPr>
        <w:t>Horizon</w:t>
      </w:r>
      <w:proofErr w:type="spellEnd"/>
      <w:r w:rsidRPr="00A94E6F">
        <w:rPr>
          <w:b/>
          <w:bCs/>
          <w:i w:val="0"/>
          <w:iCs w:val="0"/>
          <w:color w:val="auto"/>
          <w:sz w:val="20"/>
          <w:szCs w:val="20"/>
        </w:rPr>
        <w:t xml:space="preserve"> </w:t>
      </w:r>
      <w:proofErr w:type="spellStart"/>
      <w:r w:rsidRPr="00A94E6F">
        <w:rPr>
          <w:b/>
          <w:bCs/>
          <w:i w:val="0"/>
          <w:iCs w:val="0"/>
          <w:color w:val="auto"/>
          <w:sz w:val="20"/>
          <w:szCs w:val="20"/>
        </w:rPr>
        <w:t>Europe</w:t>
      </w:r>
      <w:bookmarkEnd w:id="32"/>
      <w:proofErr w:type="spellEnd"/>
    </w:p>
    <w:p w14:paraId="331EAE85" w14:textId="0848C046" w:rsidR="005B2AF4" w:rsidRDefault="005B2AF4" w:rsidP="00222D32">
      <w:pPr>
        <w:rPr>
          <w:i/>
          <w:iCs/>
          <w:sz w:val="20"/>
          <w:szCs w:val="20"/>
        </w:rPr>
      </w:pPr>
      <w:r>
        <w:rPr>
          <w:noProof/>
          <w14:ligatures w14:val="standardContextual"/>
        </w:rPr>
        <w:drawing>
          <wp:inline distT="0" distB="0" distL="0" distR="0" wp14:anchorId="6A04E9B6" wp14:editId="0C7A46FD">
            <wp:extent cx="5759450" cy="2160000"/>
            <wp:effectExtent l="0" t="0" r="12700" b="12065"/>
            <wp:docPr id="936582637" name="Graf 1">
              <a:extLst xmlns:a="http://schemas.openxmlformats.org/drawingml/2006/main">
                <a:ext uri="{FF2B5EF4-FFF2-40B4-BE49-F238E27FC236}">
                  <a16:creationId xmlns:a16="http://schemas.microsoft.com/office/drawing/2014/main" id="{C0A10624-0418-44C6-B67A-3885C1E86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3E3E3D" w14:textId="0C509EA1" w:rsidR="005B2AF4" w:rsidRDefault="00F10D15" w:rsidP="004C0CC2">
      <w:pPr>
        <w:spacing w:after="0"/>
        <w:rPr>
          <w:i/>
          <w:iCs/>
          <w:sz w:val="20"/>
          <w:szCs w:val="20"/>
        </w:rPr>
      </w:pPr>
      <w:r>
        <w:rPr>
          <w:noProof/>
          <w14:ligatures w14:val="standardContextual"/>
        </w:rPr>
        <w:drawing>
          <wp:inline distT="0" distB="0" distL="0" distR="0" wp14:anchorId="0BE24BBA" wp14:editId="1613B102">
            <wp:extent cx="5759450" cy="2160000"/>
            <wp:effectExtent l="0" t="0" r="12700" b="12065"/>
            <wp:docPr id="2085827687" name="Graf 1">
              <a:extLst xmlns:a="http://schemas.openxmlformats.org/drawingml/2006/main">
                <a:ext uri="{FF2B5EF4-FFF2-40B4-BE49-F238E27FC236}">
                  <a16:creationId xmlns:a16="http://schemas.microsoft.com/office/drawing/2014/main" id="{A6E29F9D-9C0A-4F0F-B734-2DAFF768F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FB92B9" w14:textId="33642526" w:rsidR="005B2AF4" w:rsidRDefault="004C0CC2" w:rsidP="004C0CC2">
      <w:pPr>
        <w:jc w:val="right"/>
        <w:rPr>
          <w:i/>
          <w:iCs/>
          <w:sz w:val="20"/>
          <w:szCs w:val="20"/>
          <w:lang w:val="en-GB"/>
        </w:rPr>
      </w:pPr>
      <w:r w:rsidRPr="002E7249">
        <w:rPr>
          <w:i/>
          <w:iCs/>
          <w:sz w:val="20"/>
          <w:szCs w:val="20"/>
          <w:lang w:val="en-GB"/>
        </w:rPr>
        <w:t>Data: E-corda</w:t>
      </w:r>
    </w:p>
    <w:p w14:paraId="0760E0D9" w14:textId="77777777" w:rsidR="004C0CC2" w:rsidRDefault="004C0CC2" w:rsidP="004C0CC2">
      <w:pPr>
        <w:jc w:val="right"/>
        <w:rPr>
          <w:i/>
          <w:iCs/>
          <w:sz w:val="20"/>
          <w:szCs w:val="20"/>
          <w:lang w:val="en-GB"/>
        </w:rPr>
      </w:pPr>
    </w:p>
    <w:p w14:paraId="0E00C378" w14:textId="43D2CA61" w:rsidR="004531C8" w:rsidRPr="004531C8" w:rsidRDefault="004531C8" w:rsidP="004531C8">
      <w:pPr>
        <w:jc w:val="both"/>
        <w:rPr>
          <w:lang w:val="en-GB"/>
        </w:rPr>
      </w:pPr>
      <w:r w:rsidRPr="004531C8">
        <w:rPr>
          <w:lang w:val="en-GB"/>
        </w:rPr>
        <w:t>However, quantitative comparisons do not consider the size of individual countries or the scale of their research and innovation base. Therefore, the following chart presents a comparison of EU contributions per capita and the number of Horizon Europe participations per one million inhabitants.</w:t>
      </w:r>
    </w:p>
    <w:p w14:paraId="4E577BBB" w14:textId="77777777" w:rsidR="004531C8" w:rsidRPr="004531C8" w:rsidRDefault="004531C8" w:rsidP="004531C8">
      <w:pPr>
        <w:jc w:val="both"/>
        <w:rPr>
          <w:lang w:val="en-GB"/>
        </w:rPr>
      </w:pPr>
      <w:r w:rsidRPr="004531C8">
        <w:rPr>
          <w:lang w:val="en-GB"/>
        </w:rPr>
        <w:t>Slovenia has the highest contribution per capita (€171.86), followed by Austria (€155.33) and Germany (€86.84). At the opposite end, the lowest contributions are recorded in Ukraine (€1.77), Moldova (€2.26), and Bosnia and Herzegovina (€2.91). A similar pattern emerges when comparing the number of participations per million inhabitants: Slovenia leads with 528, followed by Austria (326) and Croatia (143). Ukraine (8.6), Bosnia and Herzegovina (17.5), and Moldova (22) have the lowest participation rates.</w:t>
      </w:r>
    </w:p>
    <w:p w14:paraId="146B4E57" w14:textId="77777777" w:rsidR="004531C8" w:rsidRDefault="004531C8" w:rsidP="00C173F6">
      <w:pPr>
        <w:jc w:val="both"/>
      </w:pPr>
    </w:p>
    <w:p w14:paraId="0582A095" w14:textId="63F34A12" w:rsidR="004C0CC2" w:rsidRPr="009B12F0" w:rsidRDefault="00AD7C0F" w:rsidP="009B12F0">
      <w:pPr>
        <w:jc w:val="both"/>
      </w:pPr>
      <w:r>
        <w:t xml:space="preserve"> </w:t>
      </w:r>
    </w:p>
    <w:p w14:paraId="3B2B198B" w14:textId="29C6BCC8" w:rsidR="00145904" w:rsidRDefault="00145904" w:rsidP="00145904">
      <w:pPr>
        <w:pStyle w:val="Popis"/>
        <w:keepNext/>
        <w:spacing w:after="0"/>
      </w:pPr>
      <w:bookmarkStart w:id="33" w:name="_Toc202166646"/>
      <w:proofErr w:type="spellStart"/>
      <w:r w:rsidRPr="00145904">
        <w:rPr>
          <w:b/>
          <w:bCs/>
          <w:i w:val="0"/>
          <w:iCs w:val="0"/>
          <w:color w:val="auto"/>
          <w:sz w:val="20"/>
          <w:szCs w:val="20"/>
        </w:rPr>
        <w:lastRenderedPageBreak/>
        <w:t>Graph</w:t>
      </w:r>
      <w:proofErr w:type="spellEnd"/>
      <w:r w:rsidRPr="00145904">
        <w:rPr>
          <w:b/>
          <w:bCs/>
          <w:i w:val="0"/>
          <w:iCs w:val="0"/>
          <w:color w:val="auto"/>
          <w:sz w:val="20"/>
          <w:szCs w:val="20"/>
        </w:rPr>
        <w:t xml:space="preserve">  </w:t>
      </w:r>
      <w:r w:rsidRPr="00145904">
        <w:rPr>
          <w:b/>
          <w:bCs/>
          <w:i w:val="0"/>
          <w:iCs w:val="0"/>
          <w:color w:val="auto"/>
          <w:sz w:val="20"/>
          <w:szCs w:val="20"/>
        </w:rPr>
        <w:fldChar w:fldCharType="begin"/>
      </w:r>
      <w:r w:rsidRPr="00145904">
        <w:rPr>
          <w:b/>
          <w:bCs/>
          <w:i w:val="0"/>
          <w:iCs w:val="0"/>
          <w:color w:val="auto"/>
          <w:sz w:val="20"/>
          <w:szCs w:val="20"/>
        </w:rPr>
        <w:instrText xml:space="preserve"> SEQ Graph_ \* ARABIC </w:instrText>
      </w:r>
      <w:r w:rsidRPr="00145904">
        <w:rPr>
          <w:b/>
          <w:bCs/>
          <w:i w:val="0"/>
          <w:iCs w:val="0"/>
          <w:color w:val="auto"/>
          <w:sz w:val="20"/>
          <w:szCs w:val="20"/>
        </w:rPr>
        <w:fldChar w:fldCharType="separate"/>
      </w:r>
      <w:r w:rsidR="00FE761C">
        <w:rPr>
          <w:b/>
          <w:bCs/>
          <w:i w:val="0"/>
          <w:iCs w:val="0"/>
          <w:noProof/>
          <w:color w:val="auto"/>
          <w:sz w:val="20"/>
          <w:szCs w:val="20"/>
        </w:rPr>
        <w:t>16</w:t>
      </w:r>
      <w:r w:rsidRPr="00145904">
        <w:rPr>
          <w:b/>
          <w:bCs/>
          <w:i w:val="0"/>
          <w:iCs w:val="0"/>
          <w:color w:val="auto"/>
          <w:sz w:val="20"/>
          <w:szCs w:val="20"/>
        </w:rPr>
        <w:fldChar w:fldCharType="end"/>
      </w:r>
      <w:r w:rsidRPr="00145904">
        <w:rPr>
          <w:b/>
          <w:bCs/>
          <w:i w:val="0"/>
          <w:iCs w:val="0"/>
          <w:color w:val="auto"/>
          <w:sz w:val="20"/>
          <w:szCs w:val="20"/>
        </w:rPr>
        <w:t xml:space="preserve"> EU </w:t>
      </w:r>
      <w:proofErr w:type="spellStart"/>
      <w:r w:rsidRPr="00145904">
        <w:rPr>
          <w:b/>
          <w:bCs/>
          <w:i w:val="0"/>
          <w:iCs w:val="0"/>
          <w:color w:val="auto"/>
          <w:sz w:val="20"/>
          <w:szCs w:val="20"/>
        </w:rPr>
        <w:t>contribution</w:t>
      </w:r>
      <w:proofErr w:type="spellEnd"/>
      <w:r w:rsidRPr="00145904">
        <w:rPr>
          <w:b/>
          <w:bCs/>
          <w:i w:val="0"/>
          <w:iCs w:val="0"/>
          <w:color w:val="auto"/>
          <w:sz w:val="20"/>
          <w:szCs w:val="20"/>
        </w:rPr>
        <w:t xml:space="preserve"> and </w:t>
      </w:r>
      <w:proofErr w:type="spellStart"/>
      <w:r w:rsidRPr="00145904">
        <w:rPr>
          <w:b/>
          <w:bCs/>
          <w:i w:val="0"/>
          <w:iCs w:val="0"/>
          <w:color w:val="auto"/>
          <w:sz w:val="20"/>
          <w:szCs w:val="20"/>
        </w:rPr>
        <w:t>participation</w:t>
      </w:r>
      <w:proofErr w:type="spellEnd"/>
      <w:r w:rsidRPr="00145904">
        <w:rPr>
          <w:b/>
          <w:bCs/>
          <w:i w:val="0"/>
          <w:iCs w:val="0"/>
          <w:color w:val="auto"/>
          <w:sz w:val="20"/>
          <w:szCs w:val="20"/>
        </w:rPr>
        <w:t xml:space="preserve"> in </w:t>
      </w:r>
      <w:proofErr w:type="spellStart"/>
      <w:r w:rsidRPr="00145904">
        <w:rPr>
          <w:b/>
          <w:bCs/>
          <w:i w:val="0"/>
          <w:iCs w:val="0"/>
          <w:color w:val="auto"/>
          <w:sz w:val="20"/>
          <w:szCs w:val="20"/>
        </w:rPr>
        <w:t>Horizon</w:t>
      </w:r>
      <w:proofErr w:type="spellEnd"/>
      <w:r w:rsidRPr="00145904">
        <w:rPr>
          <w:b/>
          <w:bCs/>
          <w:i w:val="0"/>
          <w:iCs w:val="0"/>
          <w:color w:val="auto"/>
          <w:sz w:val="20"/>
          <w:szCs w:val="20"/>
        </w:rPr>
        <w:t xml:space="preserve"> </w:t>
      </w:r>
      <w:proofErr w:type="spellStart"/>
      <w:r w:rsidRPr="00145904">
        <w:rPr>
          <w:b/>
          <w:bCs/>
          <w:i w:val="0"/>
          <w:iCs w:val="0"/>
          <w:color w:val="auto"/>
          <w:sz w:val="20"/>
          <w:szCs w:val="20"/>
        </w:rPr>
        <w:t>Europe</w:t>
      </w:r>
      <w:proofErr w:type="spellEnd"/>
      <w:r w:rsidRPr="00145904">
        <w:rPr>
          <w:b/>
          <w:bCs/>
          <w:i w:val="0"/>
          <w:iCs w:val="0"/>
          <w:color w:val="auto"/>
          <w:sz w:val="20"/>
          <w:szCs w:val="20"/>
        </w:rPr>
        <w:t xml:space="preserve"> per </w:t>
      </w:r>
      <w:proofErr w:type="spellStart"/>
      <w:r w:rsidRPr="00145904">
        <w:rPr>
          <w:b/>
          <w:bCs/>
          <w:i w:val="0"/>
          <w:iCs w:val="0"/>
          <w:color w:val="auto"/>
          <w:sz w:val="20"/>
          <w:szCs w:val="20"/>
        </w:rPr>
        <w:t>capita</w:t>
      </w:r>
      <w:bookmarkEnd w:id="33"/>
      <w:proofErr w:type="spellEnd"/>
    </w:p>
    <w:p w14:paraId="258EA574" w14:textId="12390FFA" w:rsidR="004C0CC2" w:rsidRDefault="007E71C5" w:rsidP="00535596">
      <w:pPr>
        <w:spacing w:after="0"/>
        <w:rPr>
          <w:i/>
          <w:iCs/>
          <w:sz w:val="20"/>
          <w:szCs w:val="20"/>
          <w:lang w:val="en-GB"/>
        </w:rPr>
      </w:pPr>
      <w:r>
        <w:rPr>
          <w:noProof/>
          <w14:ligatures w14:val="standardContextual"/>
        </w:rPr>
        <w:drawing>
          <wp:inline distT="0" distB="0" distL="0" distR="0" wp14:anchorId="3226B07B" wp14:editId="021DA410">
            <wp:extent cx="5759450" cy="2880000"/>
            <wp:effectExtent l="0" t="0" r="12700" b="15875"/>
            <wp:docPr id="1207787315" name="Graf 1">
              <a:extLst xmlns:a="http://schemas.openxmlformats.org/drawingml/2006/main">
                <a:ext uri="{FF2B5EF4-FFF2-40B4-BE49-F238E27FC236}">
                  <a16:creationId xmlns:a16="http://schemas.microsoft.com/office/drawing/2014/main" id="{97FE5549-894D-45A9-9217-21B8D0B7D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418F1E" w14:textId="77777777" w:rsidR="00535596" w:rsidRDefault="00535596" w:rsidP="00535596">
      <w:pPr>
        <w:jc w:val="right"/>
        <w:rPr>
          <w:i/>
          <w:iCs/>
          <w:sz w:val="20"/>
          <w:szCs w:val="20"/>
          <w:lang w:val="en-GB"/>
        </w:rPr>
      </w:pPr>
      <w:r w:rsidRPr="002E7249">
        <w:rPr>
          <w:i/>
          <w:iCs/>
          <w:sz w:val="20"/>
          <w:szCs w:val="20"/>
          <w:lang w:val="en-GB"/>
        </w:rPr>
        <w:t>Data: E-corda</w:t>
      </w:r>
    </w:p>
    <w:p w14:paraId="6FD2723E" w14:textId="77777777" w:rsidR="00FD5637" w:rsidRDefault="00FD5637" w:rsidP="006C1D2E">
      <w:pPr>
        <w:jc w:val="both"/>
      </w:pPr>
    </w:p>
    <w:p w14:paraId="023E9F6C" w14:textId="77777777" w:rsidR="00FD5637" w:rsidRPr="00FD5637" w:rsidRDefault="00FD5637" w:rsidP="00FD5637">
      <w:pPr>
        <w:jc w:val="both"/>
        <w:rPr>
          <w:lang w:val="en-GB"/>
        </w:rPr>
      </w:pPr>
      <w:r w:rsidRPr="00FD5637">
        <w:rPr>
          <w:lang w:val="en-GB"/>
        </w:rPr>
        <w:t>An even more insightful qualitative comparison can be made by relating participation in Horizon Europe to the number of researchers in each country. From this perspective, Slovenia is the most successful country, with an average European Commission contribution of €32,106 per researcher. It is followed by Austria (€23,164) and Romania (€15,326). On the other end of the spectrum are Moldova (€2,816), Ukraine (€3,050), and Hungary (€4,307).</w:t>
      </w:r>
    </w:p>
    <w:p w14:paraId="45A28CB3" w14:textId="44AECA0C" w:rsidR="00286B7B" w:rsidRPr="00FD5637" w:rsidRDefault="00FD5637" w:rsidP="006C1D2E">
      <w:pPr>
        <w:jc w:val="both"/>
        <w:rPr>
          <w:lang w:val="en-GB"/>
        </w:rPr>
      </w:pPr>
      <w:r w:rsidRPr="00FD5637">
        <w:rPr>
          <w:lang w:val="en-GB"/>
        </w:rPr>
        <w:t>When looking at the number of participations per 1,000 researchers, Slovenia again ranks first (98), followed by Montenegro (68) and Romania (58). The lowest participation rates are observed in Ukraine (14), Hungary (17), and Germany (23).</w:t>
      </w:r>
    </w:p>
    <w:p w14:paraId="4D9799F0" w14:textId="26C57217" w:rsidR="00842C84" w:rsidRPr="00842C84" w:rsidRDefault="00842C84" w:rsidP="00842C84">
      <w:pPr>
        <w:pStyle w:val="Popis"/>
        <w:keepNext/>
        <w:spacing w:after="0"/>
        <w:rPr>
          <w:b/>
          <w:bCs/>
          <w:i w:val="0"/>
          <w:iCs w:val="0"/>
          <w:color w:val="auto"/>
          <w:sz w:val="20"/>
          <w:szCs w:val="20"/>
        </w:rPr>
      </w:pPr>
      <w:bookmarkStart w:id="34" w:name="_Toc202166647"/>
      <w:proofErr w:type="spellStart"/>
      <w:r w:rsidRPr="00842C84">
        <w:rPr>
          <w:b/>
          <w:bCs/>
          <w:i w:val="0"/>
          <w:iCs w:val="0"/>
          <w:color w:val="auto"/>
          <w:sz w:val="20"/>
          <w:szCs w:val="20"/>
        </w:rPr>
        <w:t>Graph</w:t>
      </w:r>
      <w:proofErr w:type="spellEnd"/>
      <w:r w:rsidRPr="00842C84">
        <w:rPr>
          <w:b/>
          <w:bCs/>
          <w:i w:val="0"/>
          <w:iCs w:val="0"/>
          <w:color w:val="auto"/>
          <w:sz w:val="20"/>
          <w:szCs w:val="20"/>
        </w:rPr>
        <w:t xml:space="preserve">  </w:t>
      </w:r>
      <w:r w:rsidRPr="00842C84">
        <w:rPr>
          <w:b/>
          <w:bCs/>
          <w:i w:val="0"/>
          <w:iCs w:val="0"/>
          <w:color w:val="auto"/>
          <w:sz w:val="20"/>
          <w:szCs w:val="20"/>
        </w:rPr>
        <w:fldChar w:fldCharType="begin"/>
      </w:r>
      <w:r w:rsidRPr="00842C84">
        <w:rPr>
          <w:b/>
          <w:bCs/>
          <w:i w:val="0"/>
          <w:iCs w:val="0"/>
          <w:color w:val="auto"/>
          <w:sz w:val="20"/>
          <w:szCs w:val="20"/>
        </w:rPr>
        <w:instrText xml:space="preserve"> SEQ Graph_ \* ARABIC </w:instrText>
      </w:r>
      <w:r w:rsidRPr="00842C84">
        <w:rPr>
          <w:b/>
          <w:bCs/>
          <w:i w:val="0"/>
          <w:iCs w:val="0"/>
          <w:color w:val="auto"/>
          <w:sz w:val="20"/>
          <w:szCs w:val="20"/>
        </w:rPr>
        <w:fldChar w:fldCharType="separate"/>
      </w:r>
      <w:r w:rsidR="00FE761C">
        <w:rPr>
          <w:b/>
          <w:bCs/>
          <w:i w:val="0"/>
          <w:iCs w:val="0"/>
          <w:noProof/>
          <w:color w:val="auto"/>
          <w:sz w:val="20"/>
          <w:szCs w:val="20"/>
        </w:rPr>
        <w:t>17</w:t>
      </w:r>
      <w:r w:rsidRPr="00842C84">
        <w:rPr>
          <w:b/>
          <w:bCs/>
          <w:i w:val="0"/>
          <w:iCs w:val="0"/>
          <w:color w:val="auto"/>
          <w:sz w:val="20"/>
          <w:szCs w:val="20"/>
        </w:rPr>
        <w:fldChar w:fldCharType="end"/>
      </w:r>
      <w:r w:rsidRPr="00842C84">
        <w:rPr>
          <w:b/>
          <w:bCs/>
          <w:i w:val="0"/>
          <w:iCs w:val="0"/>
          <w:color w:val="auto"/>
          <w:sz w:val="20"/>
          <w:szCs w:val="20"/>
        </w:rPr>
        <w:t xml:space="preserve">  EU </w:t>
      </w:r>
      <w:proofErr w:type="spellStart"/>
      <w:r w:rsidRPr="00842C84">
        <w:rPr>
          <w:b/>
          <w:bCs/>
          <w:i w:val="0"/>
          <w:iCs w:val="0"/>
          <w:color w:val="auto"/>
          <w:sz w:val="20"/>
          <w:szCs w:val="20"/>
        </w:rPr>
        <w:t>contribution</w:t>
      </w:r>
      <w:proofErr w:type="spellEnd"/>
      <w:r w:rsidRPr="00842C84">
        <w:rPr>
          <w:b/>
          <w:bCs/>
          <w:i w:val="0"/>
          <w:iCs w:val="0"/>
          <w:color w:val="auto"/>
          <w:sz w:val="20"/>
          <w:szCs w:val="20"/>
        </w:rPr>
        <w:t xml:space="preserve"> and </w:t>
      </w:r>
      <w:proofErr w:type="spellStart"/>
      <w:r w:rsidRPr="00842C84">
        <w:rPr>
          <w:b/>
          <w:bCs/>
          <w:i w:val="0"/>
          <w:iCs w:val="0"/>
          <w:color w:val="auto"/>
          <w:sz w:val="20"/>
          <w:szCs w:val="20"/>
        </w:rPr>
        <w:t>participation</w:t>
      </w:r>
      <w:proofErr w:type="spellEnd"/>
      <w:r w:rsidRPr="00842C84">
        <w:rPr>
          <w:b/>
          <w:bCs/>
          <w:i w:val="0"/>
          <w:iCs w:val="0"/>
          <w:color w:val="auto"/>
          <w:sz w:val="20"/>
          <w:szCs w:val="20"/>
        </w:rPr>
        <w:t xml:space="preserve"> in </w:t>
      </w:r>
      <w:proofErr w:type="spellStart"/>
      <w:r w:rsidRPr="00842C84">
        <w:rPr>
          <w:b/>
          <w:bCs/>
          <w:i w:val="0"/>
          <w:iCs w:val="0"/>
          <w:color w:val="auto"/>
          <w:sz w:val="20"/>
          <w:szCs w:val="20"/>
        </w:rPr>
        <w:t>Horizon</w:t>
      </w:r>
      <w:proofErr w:type="spellEnd"/>
      <w:r w:rsidRPr="00842C84">
        <w:rPr>
          <w:b/>
          <w:bCs/>
          <w:i w:val="0"/>
          <w:iCs w:val="0"/>
          <w:color w:val="auto"/>
          <w:sz w:val="20"/>
          <w:szCs w:val="20"/>
        </w:rPr>
        <w:t xml:space="preserve"> </w:t>
      </w:r>
      <w:proofErr w:type="spellStart"/>
      <w:r w:rsidRPr="00842C84">
        <w:rPr>
          <w:b/>
          <w:bCs/>
          <w:i w:val="0"/>
          <w:iCs w:val="0"/>
          <w:color w:val="auto"/>
          <w:sz w:val="20"/>
          <w:szCs w:val="20"/>
        </w:rPr>
        <w:t>Europe</w:t>
      </w:r>
      <w:proofErr w:type="spellEnd"/>
      <w:r w:rsidRPr="00842C84">
        <w:rPr>
          <w:b/>
          <w:bCs/>
          <w:i w:val="0"/>
          <w:iCs w:val="0"/>
          <w:color w:val="auto"/>
          <w:sz w:val="20"/>
          <w:szCs w:val="20"/>
        </w:rPr>
        <w:t xml:space="preserve"> per </w:t>
      </w:r>
      <w:proofErr w:type="spellStart"/>
      <w:r w:rsidRPr="00842C84">
        <w:rPr>
          <w:b/>
          <w:bCs/>
          <w:i w:val="0"/>
          <w:iCs w:val="0"/>
          <w:color w:val="auto"/>
          <w:sz w:val="20"/>
          <w:szCs w:val="20"/>
        </w:rPr>
        <w:t>researcher</w:t>
      </w:r>
      <w:proofErr w:type="spellEnd"/>
      <w:r w:rsidRPr="00842C84">
        <w:rPr>
          <w:b/>
          <w:bCs/>
          <w:i w:val="0"/>
          <w:iCs w:val="0"/>
          <w:color w:val="auto"/>
          <w:sz w:val="20"/>
          <w:szCs w:val="20"/>
        </w:rPr>
        <w:t xml:space="preserve"> (FTE)</w:t>
      </w:r>
      <w:bookmarkEnd w:id="34"/>
    </w:p>
    <w:p w14:paraId="7D4C87A1" w14:textId="3ADDB40F" w:rsidR="00286B7B" w:rsidRDefault="005348E5" w:rsidP="005348E5">
      <w:pPr>
        <w:spacing w:after="0"/>
        <w:rPr>
          <w:i/>
          <w:iCs/>
          <w:sz w:val="20"/>
          <w:szCs w:val="20"/>
          <w:lang w:val="en-GB"/>
        </w:rPr>
      </w:pPr>
      <w:r>
        <w:rPr>
          <w:noProof/>
          <w14:ligatures w14:val="standardContextual"/>
        </w:rPr>
        <w:drawing>
          <wp:inline distT="0" distB="0" distL="0" distR="0" wp14:anchorId="66517BB6" wp14:editId="462BB6E1">
            <wp:extent cx="5759450" cy="2880000"/>
            <wp:effectExtent l="0" t="0" r="12700" b="15875"/>
            <wp:docPr id="1881998805" name="Graf 1">
              <a:extLst xmlns:a="http://schemas.openxmlformats.org/drawingml/2006/main">
                <a:ext uri="{FF2B5EF4-FFF2-40B4-BE49-F238E27FC236}">
                  <a16:creationId xmlns:a16="http://schemas.microsoft.com/office/drawing/2014/main" id="{0A6C7B84-81CD-411A-B218-52A01158A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28A1667" w14:textId="77777777" w:rsidR="005348E5" w:rsidRDefault="005348E5" w:rsidP="005348E5">
      <w:pPr>
        <w:jc w:val="right"/>
        <w:rPr>
          <w:i/>
          <w:iCs/>
          <w:sz w:val="20"/>
          <w:szCs w:val="20"/>
          <w:lang w:val="en-GB"/>
        </w:rPr>
      </w:pPr>
      <w:r w:rsidRPr="002E7249">
        <w:rPr>
          <w:i/>
          <w:iCs/>
          <w:sz w:val="20"/>
          <w:szCs w:val="20"/>
          <w:lang w:val="en-GB"/>
        </w:rPr>
        <w:t>Data: E-corda</w:t>
      </w:r>
    </w:p>
    <w:p w14:paraId="5A8557E9" w14:textId="77777777" w:rsidR="004C0CC2" w:rsidRDefault="004C0CC2" w:rsidP="00767816">
      <w:pPr>
        <w:rPr>
          <w:i/>
          <w:iCs/>
          <w:sz w:val="20"/>
          <w:szCs w:val="20"/>
          <w:lang w:val="en-GB"/>
        </w:rPr>
      </w:pPr>
    </w:p>
    <w:p w14:paraId="2ADCA773" w14:textId="6631048C" w:rsidR="00767816" w:rsidRPr="00643FA7" w:rsidRDefault="00643FA7" w:rsidP="006C1D2E">
      <w:pPr>
        <w:jc w:val="both"/>
        <w:rPr>
          <w:lang w:val="en-GB"/>
        </w:rPr>
      </w:pPr>
      <w:r w:rsidRPr="00643FA7">
        <w:rPr>
          <w:lang w:val="en-GB"/>
        </w:rPr>
        <w:lastRenderedPageBreak/>
        <w:t>The success rate for obtaining projects under Horizon Europe has slightly increased compared to Horizon 2020. Among the countries of the Danube Region, Moldova has the highest success rate (20.58%), followed by Slovakia (20.11%) and Hungary (19.86%). In contrast, the lowest success rates are observed in Bosnia and Herzegovina (13.59%), Montenegro (14.36%), and Ukraine (14.42%).</w:t>
      </w:r>
    </w:p>
    <w:p w14:paraId="1FE5DA12" w14:textId="5701AED1" w:rsidR="00DC687C" w:rsidRPr="00DC687C" w:rsidRDefault="00DC687C" w:rsidP="00DC687C">
      <w:pPr>
        <w:pStyle w:val="Popis"/>
        <w:keepNext/>
        <w:spacing w:after="0"/>
        <w:rPr>
          <w:b/>
          <w:bCs/>
          <w:i w:val="0"/>
          <w:iCs w:val="0"/>
          <w:color w:val="auto"/>
          <w:sz w:val="20"/>
          <w:szCs w:val="20"/>
        </w:rPr>
      </w:pPr>
      <w:bookmarkStart w:id="35" w:name="_Toc202166648"/>
      <w:proofErr w:type="spellStart"/>
      <w:r w:rsidRPr="00DC687C">
        <w:rPr>
          <w:b/>
          <w:bCs/>
          <w:i w:val="0"/>
          <w:iCs w:val="0"/>
          <w:color w:val="auto"/>
          <w:sz w:val="20"/>
          <w:szCs w:val="20"/>
        </w:rPr>
        <w:t>Graph</w:t>
      </w:r>
      <w:proofErr w:type="spellEnd"/>
      <w:r w:rsidRPr="00DC687C">
        <w:rPr>
          <w:b/>
          <w:bCs/>
          <w:i w:val="0"/>
          <w:iCs w:val="0"/>
          <w:color w:val="auto"/>
          <w:sz w:val="20"/>
          <w:szCs w:val="20"/>
        </w:rPr>
        <w:t xml:space="preserve">  </w:t>
      </w:r>
      <w:r w:rsidRPr="00DC687C">
        <w:rPr>
          <w:b/>
          <w:bCs/>
          <w:i w:val="0"/>
          <w:iCs w:val="0"/>
          <w:color w:val="auto"/>
          <w:sz w:val="20"/>
          <w:szCs w:val="20"/>
        </w:rPr>
        <w:fldChar w:fldCharType="begin"/>
      </w:r>
      <w:r w:rsidRPr="00DC687C">
        <w:rPr>
          <w:b/>
          <w:bCs/>
          <w:i w:val="0"/>
          <w:iCs w:val="0"/>
          <w:color w:val="auto"/>
          <w:sz w:val="20"/>
          <w:szCs w:val="20"/>
        </w:rPr>
        <w:instrText xml:space="preserve"> SEQ Graph_ \* ARABIC </w:instrText>
      </w:r>
      <w:r w:rsidRPr="00DC687C">
        <w:rPr>
          <w:b/>
          <w:bCs/>
          <w:i w:val="0"/>
          <w:iCs w:val="0"/>
          <w:color w:val="auto"/>
          <w:sz w:val="20"/>
          <w:szCs w:val="20"/>
        </w:rPr>
        <w:fldChar w:fldCharType="separate"/>
      </w:r>
      <w:r w:rsidR="00FE761C">
        <w:rPr>
          <w:b/>
          <w:bCs/>
          <w:i w:val="0"/>
          <w:iCs w:val="0"/>
          <w:noProof/>
          <w:color w:val="auto"/>
          <w:sz w:val="20"/>
          <w:szCs w:val="20"/>
        </w:rPr>
        <w:t>18</w:t>
      </w:r>
      <w:r w:rsidRPr="00DC687C">
        <w:rPr>
          <w:b/>
          <w:bCs/>
          <w:i w:val="0"/>
          <w:iCs w:val="0"/>
          <w:color w:val="auto"/>
          <w:sz w:val="20"/>
          <w:szCs w:val="20"/>
        </w:rPr>
        <w:fldChar w:fldCharType="end"/>
      </w:r>
      <w:r w:rsidRPr="00DC687C">
        <w:rPr>
          <w:b/>
          <w:bCs/>
          <w:i w:val="0"/>
          <w:iCs w:val="0"/>
          <w:color w:val="auto"/>
          <w:sz w:val="20"/>
          <w:szCs w:val="20"/>
        </w:rPr>
        <w:t xml:space="preserve"> </w:t>
      </w:r>
      <w:proofErr w:type="spellStart"/>
      <w:r w:rsidRPr="00DC687C">
        <w:rPr>
          <w:b/>
          <w:bCs/>
          <w:i w:val="0"/>
          <w:iCs w:val="0"/>
          <w:color w:val="auto"/>
          <w:sz w:val="20"/>
          <w:szCs w:val="20"/>
        </w:rPr>
        <w:t>Success</w:t>
      </w:r>
      <w:proofErr w:type="spellEnd"/>
      <w:r w:rsidRPr="00DC687C">
        <w:rPr>
          <w:b/>
          <w:bCs/>
          <w:i w:val="0"/>
          <w:iCs w:val="0"/>
          <w:color w:val="auto"/>
          <w:sz w:val="20"/>
          <w:szCs w:val="20"/>
        </w:rPr>
        <w:t xml:space="preserve"> rate in </w:t>
      </w:r>
      <w:proofErr w:type="spellStart"/>
      <w:r w:rsidRPr="00DC687C">
        <w:rPr>
          <w:b/>
          <w:bCs/>
          <w:i w:val="0"/>
          <w:iCs w:val="0"/>
          <w:color w:val="auto"/>
          <w:sz w:val="20"/>
          <w:szCs w:val="20"/>
        </w:rPr>
        <w:t>Horizon</w:t>
      </w:r>
      <w:proofErr w:type="spellEnd"/>
      <w:r w:rsidRPr="00DC687C">
        <w:rPr>
          <w:b/>
          <w:bCs/>
          <w:i w:val="0"/>
          <w:iCs w:val="0"/>
          <w:color w:val="auto"/>
          <w:sz w:val="20"/>
          <w:szCs w:val="20"/>
        </w:rPr>
        <w:t xml:space="preserve"> </w:t>
      </w:r>
      <w:proofErr w:type="spellStart"/>
      <w:r w:rsidRPr="00DC687C">
        <w:rPr>
          <w:b/>
          <w:bCs/>
          <w:i w:val="0"/>
          <w:iCs w:val="0"/>
          <w:color w:val="auto"/>
          <w:sz w:val="20"/>
          <w:szCs w:val="20"/>
        </w:rPr>
        <w:t>Europe</w:t>
      </w:r>
      <w:bookmarkEnd w:id="35"/>
      <w:proofErr w:type="spellEnd"/>
    </w:p>
    <w:p w14:paraId="14107B32" w14:textId="7DBBE7E6" w:rsidR="00767816" w:rsidRDefault="00767816" w:rsidP="00767816">
      <w:pPr>
        <w:spacing w:after="0"/>
        <w:rPr>
          <w:i/>
          <w:iCs/>
          <w:sz w:val="20"/>
          <w:szCs w:val="20"/>
          <w:lang w:val="en-GB"/>
        </w:rPr>
      </w:pPr>
      <w:r>
        <w:rPr>
          <w:noProof/>
          <w14:ligatures w14:val="standardContextual"/>
        </w:rPr>
        <w:drawing>
          <wp:inline distT="0" distB="0" distL="0" distR="0" wp14:anchorId="2CBC677B" wp14:editId="7CBF0AB0">
            <wp:extent cx="5759450" cy="2880000"/>
            <wp:effectExtent l="0" t="0" r="12700" b="15875"/>
            <wp:docPr id="1318983196" name="Graf 1">
              <a:extLst xmlns:a="http://schemas.openxmlformats.org/drawingml/2006/main">
                <a:ext uri="{FF2B5EF4-FFF2-40B4-BE49-F238E27FC236}">
                  <a16:creationId xmlns:a16="http://schemas.microsoft.com/office/drawing/2014/main" id="{F1816593-BF8E-4181-9F35-2A61E66E28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70521C4" w14:textId="77777777" w:rsidR="00767816" w:rsidRDefault="00767816" w:rsidP="00767816">
      <w:pPr>
        <w:jc w:val="right"/>
        <w:rPr>
          <w:i/>
          <w:iCs/>
          <w:sz w:val="20"/>
          <w:szCs w:val="20"/>
          <w:lang w:val="en-GB"/>
        </w:rPr>
      </w:pPr>
      <w:r w:rsidRPr="002E7249">
        <w:rPr>
          <w:i/>
          <w:iCs/>
          <w:sz w:val="20"/>
          <w:szCs w:val="20"/>
          <w:lang w:val="en-GB"/>
        </w:rPr>
        <w:t>Data: E-corda</w:t>
      </w:r>
    </w:p>
    <w:p w14:paraId="5C4453E9" w14:textId="77777777" w:rsidR="003A3E8E" w:rsidRDefault="003A3E8E" w:rsidP="00FD1CB1">
      <w:pPr>
        <w:jc w:val="both"/>
      </w:pPr>
    </w:p>
    <w:p w14:paraId="3045DC90" w14:textId="77777777" w:rsidR="003A3E8E" w:rsidRPr="003A3E8E" w:rsidRDefault="003A3E8E" w:rsidP="003A3E8E">
      <w:pPr>
        <w:jc w:val="both"/>
        <w:rPr>
          <w:lang w:val="en-GB"/>
        </w:rPr>
      </w:pPr>
      <w:r w:rsidRPr="003A3E8E">
        <w:rPr>
          <w:lang w:val="en-GB"/>
        </w:rPr>
        <w:t xml:space="preserve">Several factors influence the amount of EU contribution received. These include the roles of institutions within projects, as well as </w:t>
      </w:r>
      <w:proofErr w:type="spellStart"/>
      <w:r w:rsidRPr="003A3E8E">
        <w:rPr>
          <w:lang w:val="en-GB"/>
        </w:rPr>
        <w:t>labor</w:t>
      </w:r>
      <w:proofErr w:type="spellEnd"/>
      <w:r w:rsidRPr="003A3E8E">
        <w:rPr>
          <w:lang w:val="en-GB"/>
        </w:rPr>
        <w:t xml:space="preserve"> costs—particularly researcher salaries in individual countries. Another important factor is the role of institutions in project coordination, as coordinators typically receive higher EU contributions.</w:t>
      </w:r>
    </w:p>
    <w:p w14:paraId="2070E1F1" w14:textId="7A7364C1" w:rsidR="00A73A7F" w:rsidRPr="003A3E8E" w:rsidRDefault="003A3E8E" w:rsidP="00F3025D">
      <w:pPr>
        <w:jc w:val="both"/>
        <w:rPr>
          <w:lang w:val="en-GB"/>
        </w:rPr>
      </w:pPr>
      <w:r w:rsidRPr="003A3E8E">
        <w:rPr>
          <w:lang w:val="en-GB"/>
        </w:rPr>
        <w:t>Among EU countries, Germany has the highest average EU contribution per participation (€631,076), followed by Austria (€476,311) and the Czech Republic (€362,027). On the other hand, the lowest average contributions are recorded in Moldova (€98,200), Montenegro (€139,099), and Bosnia and Herzegovina (€166,448).</w:t>
      </w:r>
      <w:r w:rsidR="00C11434" w:rsidRPr="006C1D2E">
        <w:t xml:space="preserve"> </w:t>
      </w:r>
    </w:p>
    <w:p w14:paraId="1842DA56" w14:textId="5637C01D" w:rsidR="00CF2AC2" w:rsidRPr="00A4213D" w:rsidRDefault="00CF2AC2" w:rsidP="00A4213D">
      <w:pPr>
        <w:pStyle w:val="Popis"/>
        <w:keepNext/>
        <w:spacing w:after="0"/>
        <w:rPr>
          <w:b/>
          <w:bCs/>
          <w:i w:val="0"/>
          <w:iCs w:val="0"/>
          <w:color w:val="auto"/>
          <w:sz w:val="20"/>
          <w:szCs w:val="20"/>
        </w:rPr>
      </w:pPr>
      <w:bookmarkStart w:id="36" w:name="_Toc202166649"/>
      <w:proofErr w:type="spellStart"/>
      <w:r w:rsidRPr="00A4213D">
        <w:rPr>
          <w:b/>
          <w:bCs/>
          <w:i w:val="0"/>
          <w:iCs w:val="0"/>
          <w:color w:val="auto"/>
          <w:sz w:val="20"/>
          <w:szCs w:val="20"/>
        </w:rPr>
        <w:lastRenderedPageBreak/>
        <w:t>Graph</w:t>
      </w:r>
      <w:proofErr w:type="spellEnd"/>
      <w:r w:rsidRPr="00A4213D">
        <w:rPr>
          <w:b/>
          <w:bCs/>
          <w:i w:val="0"/>
          <w:iCs w:val="0"/>
          <w:color w:val="auto"/>
          <w:sz w:val="20"/>
          <w:szCs w:val="20"/>
        </w:rPr>
        <w:t xml:space="preserve">  </w:t>
      </w:r>
      <w:r w:rsidRPr="00A4213D">
        <w:rPr>
          <w:b/>
          <w:bCs/>
          <w:i w:val="0"/>
          <w:iCs w:val="0"/>
          <w:color w:val="auto"/>
          <w:sz w:val="20"/>
          <w:szCs w:val="20"/>
        </w:rPr>
        <w:fldChar w:fldCharType="begin"/>
      </w:r>
      <w:r w:rsidRPr="00A4213D">
        <w:rPr>
          <w:b/>
          <w:bCs/>
          <w:i w:val="0"/>
          <w:iCs w:val="0"/>
          <w:color w:val="auto"/>
          <w:sz w:val="20"/>
          <w:szCs w:val="20"/>
        </w:rPr>
        <w:instrText xml:space="preserve"> SEQ Graph_ \* ARABIC </w:instrText>
      </w:r>
      <w:r w:rsidRPr="00A4213D">
        <w:rPr>
          <w:b/>
          <w:bCs/>
          <w:i w:val="0"/>
          <w:iCs w:val="0"/>
          <w:color w:val="auto"/>
          <w:sz w:val="20"/>
          <w:szCs w:val="20"/>
        </w:rPr>
        <w:fldChar w:fldCharType="separate"/>
      </w:r>
      <w:r w:rsidR="00FE761C">
        <w:rPr>
          <w:b/>
          <w:bCs/>
          <w:i w:val="0"/>
          <w:iCs w:val="0"/>
          <w:noProof/>
          <w:color w:val="auto"/>
          <w:sz w:val="20"/>
          <w:szCs w:val="20"/>
        </w:rPr>
        <w:t>19</w:t>
      </w:r>
      <w:r w:rsidRPr="00A4213D">
        <w:rPr>
          <w:b/>
          <w:bCs/>
          <w:i w:val="0"/>
          <w:iCs w:val="0"/>
          <w:color w:val="auto"/>
          <w:sz w:val="20"/>
          <w:szCs w:val="20"/>
        </w:rPr>
        <w:fldChar w:fldCharType="end"/>
      </w:r>
      <w:r w:rsidRPr="00A4213D">
        <w:rPr>
          <w:b/>
          <w:bCs/>
          <w:i w:val="0"/>
          <w:iCs w:val="0"/>
          <w:color w:val="auto"/>
          <w:sz w:val="20"/>
          <w:szCs w:val="20"/>
        </w:rPr>
        <w:t xml:space="preserve"> </w:t>
      </w:r>
      <w:proofErr w:type="spellStart"/>
      <w:r w:rsidRPr="00A4213D">
        <w:rPr>
          <w:b/>
          <w:bCs/>
          <w:i w:val="0"/>
          <w:iCs w:val="0"/>
          <w:color w:val="auto"/>
          <w:sz w:val="20"/>
          <w:szCs w:val="20"/>
        </w:rPr>
        <w:t>Average</w:t>
      </w:r>
      <w:proofErr w:type="spellEnd"/>
      <w:r w:rsidRPr="00A4213D">
        <w:rPr>
          <w:b/>
          <w:bCs/>
          <w:i w:val="0"/>
          <w:iCs w:val="0"/>
          <w:color w:val="auto"/>
          <w:sz w:val="20"/>
          <w:szCs w:val="20"/>
        </w:rPr>
        <w:t xml:space="preserve"> EU </w:t>
      </w:r>
      <w:proofErr w:type="spellStart"/>
      <w:r w:rsidRPr="00A4213D">
        <w:rPr>
          <w:b/>
          <w:bCs/>
          <w:i w:val="0"/>
          <w:iCs w:val="0"/>
          <w:color w:val="auto"/>
          <w:sz w:val="20"/>
          <w:szCs w:val="20"/>
        </w:rPr>
        <w:t>Contribution</w:t>
      </w:r>
      <w:proofErr w:type="spellEnd"/>
      <w:r w:rsidRPr="00A4213D">
        <w:rPr>
          <w:b/>
          <w:bCs/>
          <w:i w:val="0"/>
          <w:iCs w:val="0"/>
          <w:color w:val="auto"/>
          <w:sz w:val="20"/>
          <w:szCs w:val="20"/>
        </w:rPr>
        <w:t xml:space="preserve"> per </w:t>
      </w:r>
      <w:proofErr w:type="spellStart"/>
      <w:r w:rsidRPr="00A4213D">
        <w:rPr>
          <w:b/>
          <w:bCs/>
          <w:i w:val="0"/>
          <w:iCs w:val="0"/>
          <w:color w:val="auto"/>
          <w:sz w:val="20"/>
          <w:szCs w:val="20"/>
        </w:rPr>
        <w:t>participation</w:t>
      </w:r>
      <w:bookmarkEnd w:id="36"/>
      <w:proofErr w:type="spellEnd"/>
    </w:p>
    <w:p w14:paraId="537D6836" w14:textId="78861EF1" w:rsidR="00431785" w:rsidRDefault="00431785" w:rsidP="003539AA">
      <w:pPr>
        <w:spacing w:after="0"/>
        <w:rPr>
          <w:i/>
          <w:iCs/>
          <w:sz w:val="20"/>
          <w:szCs w:val="20"/>
        </w:rPr>
      </w:pPr>
      <w:r>
        <w:rPr>
          <w:noProof/>
          <w14:ligatures w14:val="standardContextual"/>
        </w:rPr>
        <w:drawing>
          <wp:inline distT="0" distB="0" distL="0" distR="0" wp14:anchorId="4C5DEABA" wp14:editId="49D239C7">
            <wp:extent cx="5759450" cy="2880000"/>
            <wp:effectExtent l="0" t="0" r="12700" b="15875"/>
            <wp:docPr id="1731594294" name="Graf 1">
              <a:extLst xmlns:a="http://schemas.openxmlformats.org/drawingml/2006/main">
                <a:ext uri="{FF2B5EF4-FFF2-40B4-BE49-F238E27FC236}">
                  <a16:creationId xmlns:a16="http://schemas.microsoft.com/office/drawing/2014/main" id="{BB7B5043-9A21-4286-8F71-53B0A078A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74B589" w14:textId="77777777" w:rsidR="003539AA" w:rsidRDefault="003539AA" w:rsidP="003539AA">
      <w:pPr>
        <w:jc w:val="right"/>
        <w:rPr>
          <w:i/>
          <w:iCs/>
          <w:sz w:val="20"/>
          <w:szCs w:val="20"/>
          <w:lang w:val="en-GB"/>
        </w:rPr>
      </w:pPr>
      <w:r w:rsidRPr="002E7249">
        <w:rPr>
          <w:i/>
          <w:iCs/>
          <w:sz w:val="20"/>
          <w:szCs w:val="20"/>
          <w:lang w:val="en-GB"/>
        </w:rPr>
        <w:t>Data: E-corda</w:t>
      </w:r>
    </w:p>
    <w:p w14:paraId="1A036783" w14:textId="77777777" w:rsidR="00501995" w:rsidRDefault="00501995" w:rsidP="006C1D2E">
      <w:pPr>
        <w:jc w:val="both"/>
      </w:pPr>
    </w:p>
    <w:p w14:paraId="0EE332A8" w14:textId="12451DB3" w:rsidR="00501995" w:rsidRPr="00501995" w:rsidRDefault="00501995" w:rsidP="006C1D2E">
      <w:pPr>
        <w:jc w:val="both"/>
        <w:rPr>
          <w:lang w:val="en-GB"/>
        </w:rPr>
      </w:pPr>
      <w:r w:rsidRPr="00501995">
        <w:rPr>
          <w:lang w:val="en-GB"/>
        </w:rPr>
        <w:t xml:space="preserve">The most intensive collaboration in Horizon Europe projects is between Germany and Austria, with 1,184 joint participations. </w:t>
      </w:r>
      <w:r w:rsidR="00D77814">
        <w:rPr>
          <w:lang w:val="en-GB"/>
        </w:rPr>
        <w:t>C</w:t>
      </w:r>
      <w:r w:rsidRPr="00501995">
        <w:rPr>
          <w:lang w:val="en-GB"/>
        </w:rPr>
        <w:t>ountries collaborate most frequently with German institutions. Following Austria, the strongest partnerships are observed with the Czech Republic (650) and Slovenia (468). In contrast, collaboration is relatively weak among non-EU countries.</w:t>
      </w:r>
    </w:p>
    <w:p w14:paraId="48F51F9F" w14:textId="7CFB9B11" w:rsidR="00CE6E71" w:rsidRPr="00CE6E71" w:rsidRDefault="00CE6E71" w:rsidP="00CE6E71">
      <w:pPr>
        <w:pStyle w:val="Popis"/>
        <w:keepNext/>
        <w:spacing w:after="0"/>
        <w:rPr>
          <w:b/>
          <w:bCs/>
          <w:i w:val="0"/>
          <w:iCs w:val="0"/>
          <w:color w:val="auto"/>
          <w:sz w:val="20"/>
          <w:szCs w:val="20"/>
        </w:rPr>
      </w:pPr>
      <w:bookmarkStart w:id="37" w:name="_Toc202166657"/>
      <w:r w:rsidRPr="00CE6E71">
        <w:rPr>
          <w:b/>
          <w:bCs/>
          <w:i w:val="0"/>
          <w:iCs w:val="0"/>
          <w:color w:val="auto"/>
          <w:sz w:val="20"/>
          <w:szCs w:val="20"/>
        </w:rPr>
        <w:t xml:space="preserve">Table </w:t>
      </w:r>
      <w:r w:rsidRPr="00CE6E71">
        <w:rPr>
          <w:b/>
          <w:bCs/>
          <w:i w:val="0"/>
          <w:iCs w:val="0"/>
          <w:color w:val="auto"/>
          <w:sz w:val="20"/>
          <w:szCs w:val="20"/>
        </w:rPr>
        <w:fldChar w:fldCharType="begin"/>
      </w:r>
      <w:r w:rsidRPr="00CE6E71">
        <w:rPr>
          <w:b/>
          <w:bCs/>
          <w:i w:val="0"/>
          <w:iCs w:val="0"/>
          <w:color w:val="auto"/>
          <w:sz w:val="20"/>
          <w:szCs w:val="20"/>
        </w:rPr>
        <w:instrText xml:space="preserve"> SEQ Table \* ARABIC </w:instrText>
      </w:r>
      <w:r w:rsidRPr="00CE6E71">
        <w:rPr>
          <w:b/>
          <w:bCs/>
          <w:i w:val="0"/>
          <w:iCs w:val="0"/>
          <w:color w:val="auto"/>
          <w:sz w:val="20"/>
          <w:szCs w:val="20"/>
        </w:rPr>
        <w:fldChar w:fldCharType="separate"/>
      </w:r>
      <w:r w:rsidR="00FA21C8">
        <w:rPr>
          <w:b/>
          <w:bCs/>
          <w:i w:val="0"/>
          <w:iCs w:val="0"/>
          <w:noProof/>
          <w:color w:val="auto"/>
          <w:sz w:val="20"/>
          <w:szCs w:val="20"/>
        </w:rPr>
        <w:t>1</w:t>
      </w:r>
      <w:r w:rsidRPr="00CE6E71">
        <w:rPr>
          <w:b/>
          <w:bCs/>
          <w:i w:val="0"/>
          <w:iCs w:val="0"/>
          <w:color w:val="auto"/>
          <w:sz w:val="20"/>
          <w:szCs w:val="20"/>
        </w:rPr>
        <w:fldChar w:fldCharType="end"/>
      </w:r>
      <w:r w:rsidRPr="00CE6E71">
        <w:rPr>
          <w:b/>
          <w:bCs/>
          <w:i w:val="0"/>
          <w:iCs w:val="0"/>
          <w:color w:val="auto"/>
          <w:sz w:val="20"/>
          <w:szCs w:val="20"/>
        </w:rPr>
        <w:t xml:space="preserve"> </w:t>
      </w:r>
      <w:proofErr w:type="spellStart"/>
      <w:r w:rsidRPr="00CE6E71">
        <w:rPr>
          <w:b/>
          <w:bCs/>
          <w:i w:val="0"/>
          <w:iCs w:val="0"/>
          <w:color w:val="auto"/>
          <w:sz w:val="20"/>
          <w:szCs w:val="20"/>
        </w:rPr>
        <w:t>Cooperation</w:t>
      </w:r>
      <w:proofErr w:type="spellEnd"/>
      <w:r w:rsidRPr="00CE6E71">
        <w:rPr>
          <w:b/>
          <w:bCs/>
          <w:i w:val="0"/>
          <w:iCs w:val="0"/>
          <w:color w:val="auto"/>
          <w:sz w:val="20"/>
          <w:szCs w:val="20"/>
        </w:rPr>
        <w:t xml:space="preserve"> </w:t>
      </w:r>
      <w:proofErr w:type="spellStart"/>
      <w:r w:rsidRPr="00CE6E71">
        <w:rPr>
          <w:b/>
          <w:bCs/>
          <w:i w:val="0"/>
          <w:iCs w:val="0"/>
          <w:color w:val="auto"/>
          <w:sz w:val="20"/>
          <w:szCs w:val="20"/>
        </w:rPr>
        <w:t>between</w:t>
      </w:r>
      <w:proofErr w:type="spellEnd"/>
      <w:r w:rsidRPr="00CE6E71">
        <w:rPr>
          <w:b/>
          <w:bCs/>
          <w:i w:val="0"/>
          <w:iCs w:val="0"/>
          <w:color w:val="auto"/>
          <w:sz w:val="20"/>
          <w:szCs w:val="20"/>
        </w:rPr>
        <w:t xml:space="preserve"> </w:t>
      </w:r>
      <w:proofErr w:type="spellStart"/>
      <w:r w:rsidRPr="00CE6E71">
        <w:rPr>
          <w:b/>
          <w:bCs/>
          <w:i w:val="0"/>
          <w:iCs w:val="0"/>
          <w:color w:val="auto"/>
          <w:sz w:val="20"/>
          <w:szCs w:val="20"/>
        </w:rPr>
        <w:t>countries</w:t>
      </w:r>
      <w:proofErr w:type="spellEnd"/>
      <w:r w:rsidRPr="00CE6E71">
        <w:rPr>
          <w:b/>
          <w:bCs/>
          <w:i w:val="0"/>
          <w:iCs w:val="0"/>
          <w:color w:val="auto"/>
          <w:sz w:val="20"/>
          <w:szCs w:val="20"/>
        </w:rPr>
        <w:t xml:space="preserve"> in </w:t>
      </w:r>
      <w:proofErr w:type="spellStart"/>
      <w:r w:rsidRPr="00CE6E71">
        <w:rPr>
          <w:b/>
          <w:bCs/>
          <w:i w:val="0"/>
          <w:iCs w:val="0"/>
          <w:color w:val="auto"/>
          <w:sz w:val="20"/>
          <w:szCs w:val="20"/>
        </w:rPr>
        <w:t>the</w:t>
      </w:r>
      <w:proofErr w:type="spellEnd"/>
      <w:r w:rsidRPr="00CE6E71">
        <w:rPr>
          <w:b/>
          <w:bCs/>
          <w:i w:val="0"/>
          <w:iCs w:val="0"/>
          <w:color w:val="auto"/>
          <w:sz w:val="20"/>
          <w:szCs w:val="20"/>
        </w:rPr>
        <w:t xml:space="preserve"> Danube </w:t>
      </w:r>
      <w:proofErr w:type="spellStart"/>
      <w:r w:rsidRPr="00CE6E71">
        <w:rPr>
          <w:b/>
          <w:bCs/>
          <w:i w:val="0"/>
          <w:iCs w:val="0"/>
          <w:color w:val="auto"/>
          <w:sz w:val="20"/>
          <w:szCs w:val="20"/>
        </w:rPr>
        <w:t>region</w:t>
      </w:r>
      <w:bookmarkEnd w:id="37"/>
      <w:proofErr w:type="spellEnd"/>
    </w:p>
    <w:tbl>
      <w:tblPr>
        <w:tblW w:w="9360" w:type="dxa"/>
        <w:tblCellMar>
          <w:left w:w="70" w:type="dxa"/>
          <w:right w:w="70" w:type="dxa"/>
        </w:tblCellMa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tblGrid>
      <w:tr w:rsidR="007B0B94" w:rsidRPr="007B0B94" w14:paraId="48B2098D" w14:textId="77777777" w:rsidTr="009C0BF0">
        <w:trPr>
          <w:trHeight w:val="29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A457"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 </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6E26927E"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AT</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8CED366"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BA</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1190D1FD"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BG</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7BD499E5"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CZ</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620CEDE"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DE</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3ACEB0C"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HR</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BC20161"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HU</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4CBBADCB"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MD</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5707307E"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ME</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49DC3341"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RO</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1FA72A85"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RS</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6B16E4FD"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SI</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685BB259"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SK</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0D5E4AA" w14:textId="77777777" w:rsidR="007B0B94" w:rsidRPr="007B0B94" w:rsidRDefault="007B0B94" w:rsidP="007B0B94">
            <w:pPr>
              <w:spacing w:after="0" w:line="240" w:lineRule="auto"/>
              <w:jc w:val="center"/>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UA</w:t>
            </w:r>
          </w:p>
        </w:tc>
      </w:tr>
      <w:tr w:rsidR="007B0B94" w:rsidRPr="007B0B94" w14:paraId="05B707FE"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1253E1C"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AT</w:t>
            </w:r>
          </w:p>
        </w:tc>
        <w:tc>
          <w:tcPr>
            <w:tcW w:w="624" w:type="dxa"/>
            <w:tcBorders>
              <w:top w:val="nil"/>
              <w:left w:val="nil"/>
              <w:bottom w:val="single" w:sz="4" w:space="0" w:color="auto"/>
              <w:right w:val="single" w:sz="4" w:space="0" w:color="auto"/>
            </w:tcBorders>
            <w:shd w:val="clear" w:color="000000" w:fill="83CCEB"/>
            <w:noWrap/>
            <w:vAlign w:val="center"/>
            <w:hideMark/>
          </w:tcPr>
          <w:p w14:paraId="3CCCBAD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1929</w:t>
            </w:r>
          </w:p>
        </w:tc>
        <w:tc>
          <w:tcPr>
            <w:tcW w:w="624" w:type="dxa"/>
            <w:tcBorders>
              <w:top w:val="nil"/>
              <w:left w:val="nil"/>
              <w:bottom w:val="single" w:sz="4" w:space="0" w:color="auto"/>
              <w:right w:val="single" w:sz="4" w:space="0" w:color="auto"/>
            </w:tcBorders>
            <w:shd w:val="clear" w:color="auto" w:fill="auto"/>
            <w:noWrap/>
            <w:vAlign w:val="center"/>
            <w:hideMark/>
          </w:tcPr>
          <w:p w14:paraId="1528E84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14</w:t>
            </w:r>
          </w:p>
        </w:tc>
        <w:tc>
          <w:tcPr>
            <w:tcW w:w="624" w:type="dxa"/>
            <w:tcBorders>
              <w:top w:val="nil"/>
              <w:left w:val="nil"/>
              <w:bottom w:val="single" w:sz="4" w:space="0" w:color="auto"/>
              <w:right w:val="single" w:sz="4" w:space="0" w:color="auto"/>
            </w:tcBorders>
            <w:shd w:val="clear" w:color="auto" w:fill="auto"/>
            <w:noWrap/>
            <w:vAlign w:val="center"/>
            <w:hideMark/>
          </w:tcPr>
          <w:p w14:paraId="5D63D6A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134</w:t>
            </w:r>
          </w:p>
        </w:tc>
        <w:tc>
          <w:tcPr>
            <w:tcW w:w="624" w:type="dxa"/>
            <w:tcBorders>
              <w:top w:val="nil"/>
              <w:left w:val="nil"/>
              <w:bottom w:val="single" w:sz="4" w:space="0" w:color="auto"/>
              <w:right w:val="single" w:sz="4" w:space="0" w:color="auto"/>
            </w:tcBorders>
            <w:shd w:val="clear" w:color="auto" w:fill="auto"/>
            <w:noWrap/>
            <w:vAlign w:val="center"/>
            <w:hideMark/>
          </w:tcPr>
          <w:p w14:paraId="5A2E2C2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300</w:t>
            </w:r>
          </w:p>
        </w:tc>
        <w:tc>
          <w:tcPr>
            <w:tcW w:w="624" w:type="dxa"/>
            <w:tcBorders>
              <w:top w:val="nil"/>
              <w:left w:val="nil"/>
              <w:bottom w:val="single" w:sz="4" w:space="0" w:color="auto"/>
              <w:right w:val="single" w:sz="4" w:space="0" w:color="auto"/>
            </w:tcBorders>
            <w:shd w:val="clear" w:color="auto" w:fill="auto"/>
            <w:noWrap/>
            <w:vAlign w:val="center"/>
            <w:hideMark/>
          </w:tcPr>
          <w:p w14:paraId="3861384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1184</w:t>
            </w:r>
          </w:p>
        </w:tc>
        <w:tc>
          <w:tcPr>
            <w:tcW w:w="624" w:type="dxa"/>
            <w:tcBorders>
              <w:top w:val="nil"/>
              <w:left w:val="nil"/>
              <w:bottom w:val="single" w:sz="4" w:space="0" w:color="auto"/>
              <w:right w:val="single" w:sz="4" w:space="0" w:color="auto"/>
            </w:tcBorders>
            <w:shd w:val="clear" w:color="auto" w:fill="auto"/>
            <w:noWrap/>
            <w:vAlign w:val="center"/>
            <w:hideMark/>
          </w:tcPr>
          <w:p w14:paraId="04B7C5C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132</w:t>
            </w:r>
          </w:p>
        </w:tc>
        <w:tc>
          <w:tcPr>
            <w:tcW w:w="624" w:type="dxa"/>
            <w:tcBorders>
              <w:top w:val="nil"/>
              <w:left w:val="nil"/>
              <w:bottom w:val="single" w:sz="4" w:space="0" w:color="auto"/>
              <w:right w:val="single" w:sz="4" w:space="0" w:color="auto"/>
            </w:tcBorders>
            <w:shd w:val="clear" w:color="auto" w:fill="auto"/>
            <w:noWrap/>
            <w:vAlign w:val="center"/>
            <w:hideMark/>
          </w:tcPr>
          <w:p w14:paraId="192BCEB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203</w:t>
            </w:r>
          </w:p>
        </w:tc>
        <w:tc>
          <w:tcPr>
            <w:tcW w:w="624" w:type="dxa"/>
            <w:tcBorders>
              <w:top w:val="nil"/>
              <w:left w:val="nil"/>
              <w:bottom w:val="single" w:sz="4" w:space="0" w:color="auto"/>
              <w:right w:val="single" w:sz="4" w:space="0" w:color="auto"/>
            </w:tcBorders>
            <w:shd w:val="clear" w:color="auto" w:fill="auto"/>
            <w:noWrap/>
            <w:vAlign w:val="center"/>
            <w:hideMark/>
          </w:tcPr>
          <w:p w14:paraId="40A637B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22</w:t>
            </w:r>
          </w:p>
        </w:tc>
        <w:tc>
          <w:tcPr>
            <w:tcW w:w="624" w:type="dxa"/>
            <w:tcBorders>
              <w:top w:val="nil"/>
              <w:left w:val="nil"/>
              <w:bottom w:val="single" w:sz="4" w:space="0" w:color="auto"/>
              <w:right w:val="single" w:sz="4" w:space="0" w:color="auto"/>
            </w:tcBorders>
            <w:shd w:val="clear" w:color="auto" w:fill="auto"/>
            <w:noWrap/>
            <w:vAlign w:val="center"/>
            <w:hideMark/>
          </w:tcPr>
          <w:p w14:paraId="43B5582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w:t>
            </w:r>
          </w:p>
        </w:tc>
        <w:tc>
          <w:tcPr>
            <w:tcW w:w="624" w:type="dxa"/>
            <w:tcBorders>
              <w:top w:val="nil"/>
              <w:left w:val="nil"/>
              <w:bottom w:val="single" w:sz="4" w:space="0" w:color="auto"/>
              <w:right w:val="single" w:sz="4" w:space="0" w:color="auto"/>
            </w:tcBorders>
            <w:shd w:val="clear" w:color="auto" w:fill="auto"/>
            <w:noWrap/>
            <w:vAlign w:val="center"/>
            <w:hideMark/>
          </w:tcPr>
          <w:p w14:paraId="1F02B73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238</w:t>
            </w:r>
          </w:p>
        </w:tc>
        <w:tc>
          <w:tcPr>
            <w:tcW w:w="624" w:type="dxa"/>
            <w:tcBorders>
              <w:top w:val="nil"/>
              <w:left w:val="nil"/>
              <w:bottom w:val="single" w:sz="4" w:space="0" w:color="auto"/>
              <w:right w:val="single" w:sz="4" w:space="0" w:color="auto"/>
            </w:tcBorders>
            <w:shd w:val="clear" w:color="auto" w:fill="auto"/>
            <w:noWrap/>
            <w:vAlign w:val="center"/>
            <w:hideMark/>
          </w:tcPr>
          <w:p w14:paraId="463C836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87</w:t>
            </w:r>
          </w:p>
        </w:tc>
        <w:tc>
          <w:tcPr>
            <w:tcW w:w="624" w:type="dxa"/>
            <w:tcBorders>
              <w:top w:val="nil"/>
              <w:left w:val="nil"/>
              <w:bottom w:val="single" w:sz="4" w:space="0" w:color="auto"/>
              <w:right w:val="single" w:sz="4" w:space="0" w:color="auto"/>
            </w:tcBorders>
            <w:shd w:val="clear" w:color="auto" w:fill="auto"/>
            <w:noWrap/>
            <w:vAlign w:val="center"/>
            <w:hideMark/>
          </w:tcPr>
          <w:p w14:paraId="1A8A54B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241</w:t>
            </w:r>
          </w:p>
        </w:tc>
        <w:tc>
          <w:tcPr>
            <w:tcW w:w="624" w:type="dxa"/>
            <w:tcBorders>
              <w:top w:val="nil"/>
              <w:left w:val="nil"/>
              <w:bottom w:val="single" w:sz="4" w:space="0" w:color="auto"/>
              <w:right w:val="single" w:sz="4" w:space="0" w:color="auto"/>
            </w:tcBorders>
            <w:shd w:val="clear" w:color="auto" w:fill="auto"/>
            <w:noWrap/>
            <w:vAlign w:val="center"/>
            <w:hideMark/>
          </w:tcPr>
          <w:p w14:paraId="47E00CA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129</w:t>
            </w:r>
          </w:p>
        </w:tc>
        <w:tc>
          <w:tcPr>
            <w:tcW w:w="624" w:type="dxa"/>
            <w:tcBorders>
              <w:top w:val="nil"/>
              <w:left w:val="nil"/>
              <w:bottom w:val="single" w:sz="4" w:space="0" w:color="auto"/>
              <w:right w:val="single" w:sz="4" w:space="0" w:color="auto"/>
            </w:tcBorders>
            <w:shd w:val="clear" w:color="auto" w:fill="auto"/>
            <w:noWrap/>
            <w:vAlign w:val="center"/>
            <w:hideMark/>
          </w:tcPr>
          <w:p w14:paraId="795324C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61</w:t>
            </w:r>
          </w:p>
        </w:tc>
      </w:tr>
      <w:tr w:rsidR="007B0B94" w:rsidRPr="007B0B94" w14:paraId="199A2AFB"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9BA4E26"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BA</w:t>
            </w:r>
          </w:p>
        </w:tc>
        <w:tc>
          <w:tcPr>
            <w:tcW w:w="624" w:type="dxa"/>
            <w:tcBorders>
              <w:top w:val="nil"/>
              <w:left w:val="nil"/>
              <w:bottom w:val="single" w:sz="4" w:space="0" w:color="auto"/>
              <w:right w:val="single" w:sz="4" w:space="0" w:color="auto"/>
            </w:tcBorders>
            <w:shd w:val="clear" w:color="auto" w:fill="auto"/>
            <w:noWrap/>
            <w:vAlign w:val="center"/>
            <w:hideMark/>
          </w:tcPr>
          <w:p w14:paraId="5B54EE7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644CD27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44</w:t>
            </w:r>
          </w:p>
        </w:tc>
        <w:tc>
          <w:tcPr>
            <w:tcW w:w="624" w:type="dxa"/>
            <w:tcBorders>
              <w:top w:val="nil"/>
              <w:left w:val="nil"/>
              <w:bottom w:val="single" w:sz="4" w:space="0" w:color="auto"/>
              <w:right w:val="single" w:sz="4" w:space="0" w:color="auto"/>
            </w:tcBorders>
            <w:shd w:val="clear" w:color="auto" w:fill="auto"/>
            <w:noWrap/>
            <w:vAlign w:val="center"/>
            <w:hideMark/>
          </w:tcPr>
          <w:p w14:paraId="723443B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13</w:t>
            </w:r>
          </w:p>
        </w:tc>
        <w:tc>
          <w:tcPr>
            <w:tcW w:w="624" w:type="dxa"/>
            <w:tcBorders>
              <w:top w:val="nil"/>
              <w:left w:val="nil"/>
              <w:bottom w:val="single" w:sz="4" w:space="0" w:color="auto"/>
              <w:right w:val="single" w:sz="4" w:space="0" w:color="auto"/>
            </w:tcBorders>
            <w:shd w:val="clear" w:color="auto" w:fill="auto"/>
            <w:noWrap/>
            <w:vAlign w:val="center"/>
            <w:hideMark/>
          </w:tcPr>
          <w:p w14:paraId="5A171E7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w:t>
            </w:r>
          </w:p>
        </w:tc>
        <w:tc>
          <w:tcPr>
            <w:tcW w:w="624" w:type="dxa"/>
            <w:tcBorders>
              <w:top w:val="nil"/>
              <w:left w:val="nil"/>
              <w:bottom w:val="single" w:sz="4" w:space="0" w:color="auto"/>
              <w:right w:val="single" w:sz="4" w:space="0" w:color="auto"/>
            </w:tcBorders>
            <w:shd w:val="clear" w:color="auto" w:fill="auto"/>
            <w:noWrap/>
            <w:vAlign w:val="center"/>
            <w:hideMark/>
          </w:tcPr>
          <w:p w14:paraId="43F9C59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25</w:t>
            </w:r>
          </w:p>
        </w:tc>
        <w:tc>
          <w:tcPr>
            <w:tcW w:w="624" w:type="dxa"/>
            <w:tcBorders>
              <w:top w:val="nil"/>
              <w:left w:val="nil"/>
              <w:bottom w:val="single" w:sz="4" w:space="0" w:color="auto"/>
              <w:right w:val="single" w:sz="4" w:space="0" w:color="auto"/>
            </w:tcBorders>
            <w:shd w:val="clear" w:color="auto" w:fill="auto"/>
            <w:noWrap/>
            <w:vAlign w:val="center"/>
            <w:hideMark/>
          </w:tcPr>
          <w:p w14:paraId="601D97A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16</w:t>
            </w:r>
          </w:p>
        </w:tc>
        <w:tc>
          <w:tcPr>
            <w:tcW w:w="624" w:type="dxa"/>
            <w:tcBorders>
              <w:top w:val="nil"/>
              <w:left w:val="nil"/>
              <w:bottom w:val="single" w:sz="4" w:space="0" w:color="auto"/>
              <w:right w:val="single" w:sz="4" w:space="0" w:color="auto"/>
            </w:tcBorders>
            <w:shd w:val="clear" w:color="auto" w:fill="auto"/>
            <w:noWrap/>
            <w:vAlign w:val="center"/>
            <w:hideMark/>
          </w:tcPr>
          <w:p w14:paraId="6A4EE5A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w:t>
            </w:r>
          </w:p>
        </w:tc>
        <w:tc>
          <w:tcPr>
            <w:tcW w:w="624" w:type="dxa"/>
            <w:tcBorders>
              <w:top w:val="nil"/>
              <w:left w:val="nil"/>
              <w:bottom w:val="single" w:sz="4" w:space="0" w:color="auto"/>
              <w:right w:val="single" w:sz="4" w:space="0" w:color="auto"/>
            </w:tcBorders>
            <w:shd w:val="clear" w:color="auto" w:fill="auto"/>
            <w:noWrap/>
            <w:vAlign w:val="center"/>
            <w:hideMark/>
          </w:tcPr>
          <w:p w14:paraId="6FCD6CF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w:t>
            </w:r>
          </w:p>
        </w:tc>
        <w:tc>
          <w:tcPr>
            <w:tcW w:w="624" w:type="dxa"/>
            <w:tcBorders>
              <w:top w:val="nil"/>
              <w:left w:val="nil"/>
              <w:bottom w:val="single" w:sz="4" w:space="0" w:color="auto"/>
              <w:right w:val="single" w:sz="4" w:space="0" w:color="auto"/>
            </w:tcBorders>
            <w:shd w:val="clear" w:color="auto" w:fill="auto"/>
            <w:noWrap/>
            <w:vAlign w:val="center"/>
            <w:hideMark/>
          </w:tcPr>
          <w:p w14:paraId="36DB3BF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w:t>
            </w:r>
          </w:p>
        </w:tc>
        <w:tc>
          <w:tcPr>
            <w:tcW w:w="624" w:type="dxa"/>
            <w:tcBorders>
              <w:top w:val="nil"/>
              <w:left w:val="nil"/>
              <w:bottom w:val="single" w:sz="4" w:space="0" w:color="auto"/>
              <w:right w:val="single" w:sz="4" w:space="0" w:color="auto"/>
            </w:tcBorders>
            <w:shd w:val="clear" w:color="auto" w:fill="auto"/>
            <w:noWrap/>
            <w:vAlign w:val="center"/>
            <w:hideMark/>
          </w:tcPr>
          <w:p w14:paraId="1399528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12</w:t>
            </w:r>
          </w:p>
        </w:tc>
        <w:tc>
          <w:tcPr>
            <w:tcW w:w="624" w:type="dxa"/>
            <w:tcBorders>
              <w:top w:val="nil"/>
              <w:left w:val="nil"/>
              <w:bottom w:val="single" w:sz="4" w:space="0" w:color="auto"/>
              <w:right w:val="single" w:sz="4" w:space="0" w:color="auto"/>
            </w:tcBorders>
            <w:shd w:val="clear" w:color="auto" w:fill="auto"/>
            <w:noWrap/>
            <w:vAlign w:val="center"/>
            <w:hideMark/>
          </w:tcPr>
          <w:p w14:paraId="7BFF8A9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w:t>
            </w:r>
          </w:p>
        </w:tc>
        <w:tc>
          <w:tcPr>
            <w:tcW w:w="624" w:type="dxa"/>
            <w:tcBorders>
              <w:top w:val="nil"/>
              <w:left w:val="nil"/>
              <w:bottom w:val="single" w:sz="4" w:space="0" w:color="auto"/>
              <w:right w:val="single" w:sz="4" w:space="0" w:color="auto"/>
            </w:tcBorders>
            <w:shd w:val="clear" w:color="auto" w:fill="auto"/>
            <w:noWrap/>
            <w:vAlign w:val="center"/>
            <w:hideMark/>
          </w:tcPr>
          <w:p w14:paraId="1574874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w:t>
            </w:r>
          </w:p>
        </w:tc>
        <w:tc>
          <w:tcPr>
            <w:tcW w:w="624" w:type="dxa"/>
            <w:tcBorders>
              <w:top w:val="nil"/>
              <w:left w:val="nil"/>
              <w:bottom w:val="single" w:sz="4" w:space="0" w:color="auto"/>
              <w:right w:val="single" w:sz="4" w:space="0" w:color="auto"/>
            </w:tcBorders>
            <w:shd w:val="clear" w:color="auto" w:fill="auto"/>
            <w:noWrap/>
            <w:vAlign w:val="center"/>
            <w:hideMark/>
          </w:tcPr>
          <w:p w14:paraId="32760F6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w:t>
            </w:r>
          </w:p>
        </w:tc>
        <w:tc>
          <w:tcPr>
            <w:tcW w:w="624" w:type="dxa"/>
            <w:tcBorders>
              <w:top w:val="nil"/>
              <w:left w:val="nil"/>
              <w:bottom w:val="single" w:sz="4" w:space="0" w:color="auto"/>
              <w:right w:val="single" w:sz="4" w:space="0" w:color="auto"/>
            </w:tcBorders>
            <w:shd w:val="clear" w:color="auto" w:fill="auto"/>
            <w:noWrap/>
            <w:vAlign w:val="center"/>
            <w:hideMark/>
          </w:tcPr>
          <w:p w14:paraId="763991C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w:t>
            </w:r>
          </w:p>
        </w:tc>
      </w:tr>
      <w:tr w:rsidR="007B0B94" w:rsidRPr="007B0B94" w14:paraId="1BA2E4C1"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A6F8EC3"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BG</w:t>
            </w:r>
          </w:p>
        </w:tc>
        <w:tc>
          <w:tcPr>
            <w:tcW w:w="624" w:type="dxa"/>
            <w:tcBorders>
              <w:top w:val="nil"/>
              <w:left w:val="nil"/>
              <w:bottom w:val="single" w:sz="4" w:space="0" w:color="auto"/>
              <w:right w:val="single" w:sz="4" w:space="0" w:color="auto"/>
            </w:tcBorders>
            <w:shd w:val="clear" w:color="auto" w:fill="auto"/>
            <w:noWrap/>
            <w:vAlign w:val="center"/>
            <w:hideMark/>
          </w:tcPr>
          <w:p w14:paraId="34C4B5C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97EF63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16B9D65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415</w:t>
            </w:r>
          </w:p>
        </w:tc>
        <w:tc>
          <w:tcPr>
            <w:tcW w:w="624" w:type="dxa"/>
            <w:tcBorders>
              <w:top w:val="nil"/>
              <w:left w:val="nil"/>
              <w:bottom w:val="single" w:sz="4" w:space="0" w:color="auto"/>
              <w:right w:val="single" w:sz="4" w:space="0" w:color="auto"/>
            </w:tcBorders>
            <w:shd w:val="clear" w:color="auto" w:fill="auto"/>
            <w:noWrap/>
            <w:vAlign w:val="center"/>
            <w:hideMark/>
          </w:tcPr>
          <w:p w14:paraId="72614A7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93</w:t>
            </w:r>
          </w:p>
        </w:tc>
        <w:tc>
          <w:tcPr>
            <w:tcW w:w="624" w:type="dxa"/>
            <w:tcBorders>
              <w:top w:val="nil"/>
              <w:left w:val="nil"/>
              <w:bottom w:val="single" w:sz="4" w:space="0" w:color="auto"/>
              <w:right w:val="single" w:sz="4" w:space="0" w:color="auto"/>
            </w:tcBorders>
            <w:shd w:val="clear" w:color="auto" w:fill="auto"/>
            <w:noWrap/>
            <w:vAlign w:val="center"/>
            <w:hideMark/>
          </w:tcPr>
          <w:p w14:paraId="1973405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278</w:t>
            </w:r>
          </w:p>
        </w:tc>
        <w:tc>
          <w:tcPr>
            <w:tcW w:w="624" w:type="dxa"/>
            <w:tcBorders>
              <w:top w:val="nil"/>
              <w:left w:val="nil"/>
              <w:bottom w:val="single" w:sz="4" w:space="0" w:color="auto"/>
              <w:right w:val="single" w:sz="4" w:space="0" w:color="auto"/>
            </w:tcBorders>
            <w:shd w:val="clear" w:color="auto" w:fill="auto"/>
            <w:noWrap/>
            <w:vAlign w:val="center"/>
            <w:hideMark/>
          </w:tcPr>
          <w:p w14:paraId="7577A2D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74</w:t>
            </w:r>
          </w:p>
        </w:tc>
        <w:tc>
          <w:tcPr>
            <w:tcW w:w="624" w:type="dxa"/>
            <w:tcBorders>
              <w:top w:val="nil"/>
              <w:left w:val="nil"/>
              <w:bottom w:val="single" w:sz="4" w:space="0" w:color="auto"/>
              <w:right w:val="single" w:sz="4" w:space="0" w:color="auto"/>
            </w:tcBorders>
            <w:shd w:val="clear" w:color="auto" w:fill="auto"/>
            <w:noWrap/>
            <w:vAlign w:val="center"/>
            <w:hideMark/>
          </w:tcPr>
          <w:p w14:paraId="09AFFC0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81</w:t>
            </w:r>
          </w:p>
        </w:tc>
        <w:tc>
          <w:tcPr>
            <w:tcW w:w="624" w:type="dxa"/>
            <w:tcBorders>
              <w:top w:val="nil"/>
              <w:left w:val="nil"/>
              <w:bottom w:val="single" w:sz="4" w:space="0" w:color="auto"/>
              <w:right w:val="single" w:sz="4" w:space="0" w:color="auto"/>
            </w:tcBorders>
            <w:shd w:val="clear" w:color="auto" w:fill="auto"/>
            <w:noWrap/>
            <w:vAlign w:val="center"/>
            <w:hideMark/>
          </w:tcPr>
          <w:p w14:paraId="3F63BF2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20</w:t>
            </w:r>
          </w:p>
        </w:tc>
        <w:tc>
          <w:tcPr>
            <w:tcW w:w="624" w:type="dxa"/>
            <w:tcBorders>
              <w:top w:val="nil"/>
              <w:left w:val="nil"/>
              <w:bottom w:val="single" w:sz="4" w:space="0" w:color="auto"/>
              <w:right w:val="single" w:sz="4" w:space="0" w:color="auto"/>
            </w:tcBorders>
            <w:shd w:val="clear" w:color="auto" w:fill="auto"/>
            <w:noWrap/>
            <w:vAlign w:val="center"/>
            <w:hideMark/>
          </w:tcPr>
          <w:p w14:paraId="70A9209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w:t>
            </w:r>
          </w:p>
        </w:tc>
        <w:tc>
          <w:tcPr>
            <w:tcW w:w="624" w:type="dxa"/>
            <w:tcBorders>
              <w:top w:val="nil"/>
              <w:left w:val="nil"/>
              <w:bottom w:val="single" w:sz="4" w:space="0" w:color="auto"/>
              <w:right w:val="single" w:sz="4" w:space="0" w:color="auto"/>
            </w:tcBorders>
            <w:shd w:val="clear" w:color="auto" w:fill="auto"/>
            <w:noWrap/>
            <w:vAlign w:val="center"/>
            <w:hideMark/>
          </w:tcPr>
          <w:p w14:paraId="23554B5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133</w:t>
            </w:r>
          </w:p>
        </w:tc>
        <w:tc>
          <w:tcPr>
            <w:tcW w:w="624" w:type="dxa"/>
            <w:tcBorders>
              <w:top w:val="nil"/>
              <w:left w:val="nil"/>
              <w:bottom w:val="single" w:sz="4" w:space="0" w:color="auto"/>
              <w:right w:val="single" w:sz="4" w:space="0" w:color="auto"/>
            </w:tcBorders>
            <w:shd w:val="clear" w:color="auto" w:fill="auto"/>
            <w:noWrap/>
            <w:vAlign w:val="center"/>
            <w:hideMark/>
          </w:tcPr>
          <w:p w14:paraId="1A38A29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47</w:t>
            </w:r>
          </w:p>
        </w:tc>
        <w:tc>
          <w:tcPr>
            <w:tcW w:w="624" w:type="dxa"/>
            <w:tcBorders>
              <w:top w:val="nil"/>
              <w:left w:val="nil"/>
              <w:bottom w:val="single" w:sz="4" w:space="0" w:color="auto"/>
              <w:right w:val="single" w:sz="4" w:space="0" w:color="auto"/>
            </w:tcBorders>
            <w:shd w:val="clear" w:color="auto" w:fill="auto"/>
            <w:noWrap/>
            <w:vAlign w:val="center"/>
            <w:hideMark/>
          </w:tcPr>
          <w:p w14:paraId="09C1A3F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62</w:t>
            </w:r>
          </w:p>
        </w:tc>
        <w:tc>
          <w:tcPr>
            <w:tcW w:w="624" w:type="dxa"/>
            <w:tcBorders>
              <w:top w:val="nil"/>
              <w:left w:val="nil"/>
              <w:bottom w:val="single" w:sz="4" w:space="0" w:color="auto"/>
              <w:right w:val="single" w:sz="4" w:space="0" w:color="auto"/>
            </w:tcBorders>
            <w:shd w:val="clear" w:color="auto" w:fill="auto"/>
            <w:noWrap/>
            <w:vAlign w:val="center"/>
            <w:hideMark/>
          </w:tcPr>
          <w:p w14:paraId="64BB136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84</w:t>
            </w:r>
          </w:p>
        </w:tc>
        <w:tc>
          <w:tcPr>
            <w:tcW w:w="624" w:type="dxa"/>
            <w:tcBorders>
              <w:top w:val="nil"/>
              <w:left w:val="nil"/>
              <w:bottom w:val="single" w:sz="4" w:space="0" w:color="auto"/>
              <w:right w:val="single" w:sz="4" w:space="0" w:color="auto"/>
            </w:tcBorders>
            <w:shd w:val="clear" w:color="auto" w:fill="auto"/>
            <w:noWrap/>
            <w:vAlign w:val="center"/>
            <w:hideMark/>
          </w:tcPr>
          <w:p w14:paraId="77E4B28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37</w:t>
            </w:r>
          </w:p>
        </w:tc>
      </w:tr>
      <w:tr w:rsidR="007B0B94" w:rsidRPr="007B0B94" w14:paraId="095B2197"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32E7AA2"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CZ</w:t>
            </w:r>
          </w:p>
        </w:tc>
        <w:tc>
          <w:tcPr>
            <w:tcW w:w="624" w:type="dxa"/>
            <w:tcBorders>
              <w:top w:val="nil"/>
              <w:left w:val="nil"/>
              <w:bottom w:val="single" w:sz="4" w:space="0" w:color="auto"/>
              <w:right w:val="single" w:sz="4" w:space="0" w:color="auto"/>
            </w:tcBorders>
            <w:shd w:val="clear" w:color="auto" w:fill="auto"/>
            <w:noWrap/>
            <w:vAlign w:val="center"/>
            <w:hideMark/>
          </w:tcPr>
          <w:p w14:paraId="39236D5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F27AB2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FDDE89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0F3182A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1009</w:t>
            </w:r>
          </w:p>
        </w:tc>
        <w:tc>
          <w:tcPr>
            <w:tcW w:w="624" w:type="dxa"/>
            <w:tcBorders>
              <w:top w:val="nil"/>
              <w:left w:val="nil"/>
              <w:bottom w:val="single" w:sz="4" w:space="0" w:color="auto"/>
              <w:right w:val="single" w:sz="4" w:space="0" w:color="auto"/>
            </w:tcBorders>
            <w:shd w:val="clear" w:color="auto" w:fill="auto"/>
            <w:noWrap/>
            <w:vAlign w:val="center"/>
            <w:hideMark/>
          </w:tcPr>
          <w:p w14:paraId="796E6D0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650</w:t>
            </w:r>
          </w:p>
        </w:tc>
        <w:tc>
          <w:tcPr>
            <w:tcW w:w="624" w:type="dxa"/>
            <w:tcBorders>
              <w:top w:val="nil"/>
              <w:left w:val="nil"/>
              <w:bottom w:val="single" w:sz="4" w:space="0" w:color="auto"/>
              <w:right w:val="single" w:sz="4" w:space="0" w:color="auto"/>
            </w:tcBorders>
            <w:shd w:val="clear" w:color="auto" w:fill="auto"/>
            <w:noWrap/>
            <w:vAlign w:val="center"/>
            <w:hideMark/>
          </w:tcPr>
          <w:p w14:paraId="1C58908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71</w:t>
            </w:r>
          </w:p>
        </w:tc>
        <w:tc>
          <w:tcPr>
            <w:tcW w:w="624" w:type="dxa"/>
            <w:tcBorders>
              <w:top w:val="nil"/>
              <w:left w:val="nil"/>
              <w:bottom w:val="single" w:sz="4" w:space="0" w:color="auto"/>
              <w:right w:val="single" w:sz="4" w:space="0" w:color="auto"/>
            </w:tcBorders>
            <w:shd w:val="clear" w:color="auto" w:fill="auto"/>
            <w:noWrap/>
            <w:vAlign w:val="center"/>
            <w:hideMark/>
          </w:tcPr>
          <w:p w14:paraId="0CACC0A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150</w:t>
            </w:r>
          </w:p>
        </w:tc>
        <w:tc>
          <w:tcPr>
            <w:tcW w:w="624" w:type="dxa"/>
            <w:tcBorders>
              <w:top w:val="nil"/>
              <w:left w:val="nil"/>
              <w:bottom w:val="single" w:sz="4" w:space="0" w:color="auto"/>
              <w:right w:val="single" w:sz="4" w:space="0" w:color="auto"/>
            </w:tcBorders>
            <w:shd w:val="clear" w:color="auto" w:fill="auto"/>
            <w:noWrap/>
            <w:vAlign w:val="center"/>
            <w:hideMark/>
          </w:tcPr>
          <w:p w14:paraId="5A671F4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22</w:t>
            </w:r>
          </w:p>
        </w:tc>
        <w:tc>
          <w:tcPr>
            <w:tcW w:w="624" w:type="dxa"/>
            <w:tcBorders>
              <w:top w:val="nil"/>
              <w:left w:val="nil"/>
              <w:bottom w:val="single" w:sz="4" w:space="0" w:color="auto"/>
              <w:right w:val="single" w:sz="4" w:space="0" w:color="auto"/>
            </w:tcBorders>
            <w:shd w:val="clear" w:color="auto" w:fill="auto"/>
            <w:noWrap/>
            <w:vAlign w:val="center"/>
            <w:hideMark/>
          </w:tcPr>
          <w:p w14:paraId="4126EBF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w:t>
            </w:r>
          </w:p>
        </w:tc>
        <w:tc>
          <w:tcPr>
            <w:tcW w:w="624" w:type="dxa"/>
            <w:tcBorders>
              <w:top w:val="nil"/>
              <w:left w:val="nil"/>
              <w:bottom w:val="single" w:sz="4" w:space="0" w:color="auto"/>
              <w:right w:val="single" w:sz="4" w:space="0" w:color="auto"/>
            </w:tcBorders>
            <w:shd w:val="clear" w:color="auto" w:fill="auto"/>
            <w:noWrap/>
            <w:vAlign w:val="center"/>
            <w:hideMark/>
          </w:tcPr>
          <w:p w14:paraId="0D38078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152</w:t>
            </w:r>
          </w:p>
        </w:tc>
        <w:tc>
          <w:tcPr>
            <w:tcW w:w="624" w:type="dxa"/>
            <w:tcBorders>
              <w:top w:val="nil"/>
              <w:left w:val="nil"/>
              <w:bottom w:val="single" w:sz="4" w:space="0" w:color="auto"/>
              <w:right w:val="single" w:sz="4" w:space="0" w:color="auto"/>
            </w:tcBorders>
            <w:shd w:val="clear" w:color="auto" w:fill="auto"/>
            <w:noWrap/>
            <w:vAlign w:val="center"/>
            <w:hideMark/>
          </w:tcPr>
          <w:p w14:paraId="3986805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52</w:t>
            </w:r>
          </w:p>
        </w:tc>
        <w:tc>
          <w:tcPr>
            <w:tcW w:w="624" w:type="dxa"/>
            <w:tcBorders>
              <w:top w:val="nil"/>
              <w:left w:val="nil"/>
              <w:bottom w:val="single" w:sz="4" w:space="0" w:color="auto"/>
              <w:right w:val="single" w:sz="4" w:space="0" w:color="auto"/>
            </w:tcBorders>
            <w:shd w:val="clear" w:color="auto" w:fill="auto"/>
            <w:noWrap/>
            <w:vAlign w:val="center"/>
            <w:hideMark/>
          </w:tcPr>
          <w:p w14:paraId="77F76F4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146</w:t>
            </w:r>
          </w:p>
        </w:tc>
        <w:tc>
          <w:tcPr>
            <w:tcW w:w="624" w:type="dxa"/>
            <w:tcBorders>
              <w:top w:val="nil"/>
              <w:left w:val="nil"/>
              <w:bottom w:val="single" w:sz="4" w:space="0" w:color="auto"/>
              <w:right w:val="single" w:sz="4" w:space="0" w:color="auto"/>
            </w:tcBorders>
            <w:shd w:val="clear" w:color="auto" w:fill="auto"/>
            <w:noWrap/>
            <w:vAlign w:val="center"/>
            <w:hideMark/>
          </w:tcPr>
          <w:p w14:paraId="6A762FB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118</w:t>
            </w:r>
          </w:p>
        </w:tc>
        <w:tc>
          <w:tcPr>
            <w:tcW w:w="624" w:type="dxa"/>
            <w:tcBorders>
              <w:top w:val="nil"/>
              <w:left w:val="nil"/>
              <w:bottom w:val="single" w:sz="4" w:space="0" w:color="auto"/>
              <w:right w:val="single" w:sz="4" w:space="0" w:color="auto"/>
            </w:tcBorders>
            <w:shd w:val="clear" w:color="auto" w:fill="auto"/>
            <w:noWrap/>
            <w:vAlign w:val="center"/>
            <w:hideMark/>
          </w:tcPr>
          <w:p w14:paraId="53128A9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54</w:t>
            </w:r>
          </w:p>
        </w:tc>
      </w:tr>
      <w:tr w:rsidR="007B0B94" w:rsidRPr="007B0B94" w14:paraId="0150F9A0"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8245ED2"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DE</w:t>
            </w:r>
          </w:p>
        </w:tc>
        <w:tc>
          <w:tcPr>
            <w:tcW w:w="624" w:type="dxa"/>
            <w:tcBorders>
              <w:top w:val="nil"/>
              <w:left w:val="nil"/>
              <w:bottom w:val="single" w:sz="4" w:space="0" w:color="auto"/>
              <w:right w:val="single" w:sz="4" w:space="0" w:color="auto"/>
            </w:tcBorders>
            <w:shd w:val="clear" w:color="auto" w:fill="auto"/>
            <w:noWrap/>
            <w:vAlign w:val="center"/>
            <w:hideMark/>
          </w:tcPr>
          <w:p w14:paraId="7656644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B519DE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5249ED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8EE367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45AC019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6019</w:t>
            </w:r>
          </w:p>
        </w:tc>
        <w:tc>
          <w:tcPr>
            <w:tcW w:w="624" w:type="dxa"/>
            <w:tcBorders>
              <w:top w:val="nil"/>
              <w:left w:val="nil"/>
              <w:bottom w:val="single" w:sz="4" w:space="0" w:color="auto"/>
              <w:right w:val="single" w:sz="4" w:space="0" w:color="auto"/>
            </w:tcBorders>
            <w:shd w:val="clear" w:color="auto" w:fill="auto"/>
            <w:noWrap/>
            <w:vAlign w:val="center"/>
            <w:hideMark/>
          </w:tcPr>
          <w:p w14:paraId="72C6DF7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233</w:t>
            </w:r>
          </w:p>
        </w:tc>
        <w:tc>
          <w:tcPr>
            <w:tcW w:w="624" w:type="dxa"/>
            <w:tcBorders>
              <w:top w:val="nil"/>
              <w:left w:val="nil"/>
              <w:bottom w:val="single" w:sz="4" w:space="0" w:color="auto"/>
              <w:right w:val="single" w:sz="4" w:space="0" w:color="auto"/>
            </w:tcBorders>
            <w:shd w:val="clear" w:color="auto" w:fill="auto"/>
            <w:noWrap/>
            <w:vAlign w:val="center"/>
            <w:hideMark/>
          </w:tcPr>
          <w:p w14:paraId="5276D21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400</w:t>
            </w:r>
          </w:p>
        </w:tc>
        <w:tc>
          <w:tcPr>
            <w:tcW w:w="624" w:type="dxa"/>
            <w:tcBorders>
              <w:top w:val="nil"/>
              <w:left w:val="nil"/>
              <w:bottom w:val="single" w:sz="4" w:space="0" w:color="auto"/>
              <w:right w:val="single" w:sz="4" w:space="0" w:color="auto"/>
            </w:tcBorders>
            <w:shd w:val="clear" w:color="auto" w:fill="auto"/>
            <w:noWrap/>
            <w:vAlign w:val="center"/>
            <w:hideMark/>
          </w:tcPr>
          <w:p w14:paraId="336750E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41</w:t>
            </w:r>
          </w:p>
        </w:tc>
        <w:tc>
          <w:tcPr>
            <w:tcW w:w="624" w:type="dxa"/>
            <w:tcBorders>
              <w:top w:val="nil"/>
              <w:left w:val="nil"/>
              <w:bottom w:val="single" w:sz="4" w:space="0" w:color="auto"/>
              <w:right w:val="single" w:sz="4" w:space="0" w:color="auto"/>
            </w:tcBorders>
            <w:shd w:val="clear" w:color="auto" w:fill="auto"/>
            <w:noWrap/>
            <w:vAlign w:val="center"/>
            <w:hideMark/>
          </w:tcPr>
          <w:p w14:paraId="1D980B8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w:t>
            </w:r>
          </w:p>
        </w:tc>
        <w:tc>
          <w:tcPr>
            <w:tcW w:w="624" w:type="dxa"/>
            <w:tcBorders>
              <w:top w:val="nil"/>
              <w:left w:val="nil"/>
              <w:bottom w:val="single" w:sz="4" w:space="0" w:color="auto"/>
              <w:right w:val="single" w:sz="4" w:space="0" w:color="auto"/>
            </w:tcBorders>
            <w:shd w:val="clear" w:color="auto" w:fill="auto"/>
            <w:noWrap/>
            <w:vAlign w:val="center"/>
            <w:hideMark/>
          </w:tcPr>
          <w:p w14:paraId="6D002BA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492</w:t>
            </w:r>
          </w:p>
        </w:tc>
        <w:tc>
          <w:tcPr>
            <w:tcW w:w="624" w:type="dxa"/>
            <w:tcBorders>
              <w:top w:val="nil"/>
              <w:left w:val="nil"/>
              <w:bottom w:val="single" w:sz="4" w:space="0" w:color="auto"/>
              <w:right w:val="single" w:sz="4" w:space="0" w:color="auto"/>
            </w:tcBorders>
            <w:shd w:val="clear" w:color="auto" w:fill="auto"/>
            <w:noWrap/>
            <w:vAlign w:val="center"/>
            <w:hideMark/>
          </w:tcPr>
          <w:p w14:paraId="3A97F3D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221</w:t>
            </w:r>
          </w:p>
        </w:tc>
        <w:tc>
          <w:tcPr>
            <w:tcW w:w="624" w:type="dxa"/>
            <w:tcBorders>
              <w:top w:val="nil"/>
              <w:left w:val="nil"/>
              <w:bottom w:val="single" w:sz="4" w:space="0" w:color="auto"/>
              <w:right w:val="single" w:sz="4" w:space="0" w:color="auto"/>
            </w:tcBorders>
            <w:shd w:val="clear" w:color="auto" w:fill="auto"/>
            <w:noWrap/>
            <w:vAlign w:val="center"/>
            <w:hideMark/>
          </w:tcPr>
          <w:p w14:paraId="7273870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468</w:t>
            </w:r>
          </w:p>
        </w:tc>
        <w:tc>
          <w:tcPr>
            <w:tcW w:w="624" w:type="dxa"/>
            <w:tcBorders>
              <w:top w:val="nil"/>
              <w:left w:val="nil"/>
              <w:bottom w:val="single" w:sz="4" w:space="0" w:color="auto"/>
              <w:right w:val="single" w:sz="4" w:space="0" w:color="auto"/>
            </w:tcBorders>
            <w:shd w:val="clear" w:color="auto" w:fill="auto"/>
            <w:noWrap/>
            <w:vAlign w:val="center"/>
            <w:hideMark/>
          </w:tcPr>
          <w:p w14:paraId="5511042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246</w:t>
            </w:r>
          </w:p>
        </w:tc>
        <w:tc>
          <w:tcPr>
            <w:tcW w:w="624" w:type="dxa"/>
            <w:tcBorders>
              <w:top w:val="nil"/>
              <w:left w:val="nil"/>
              <w:bottom w:val="single" w:sz="4" w:space="0" w:color="auto"/>
              <w:right w:val="single" w:sz="4" w:space="0" w:color="auto"/>
            </w:tcBorders>
            <w:shd w:val="clear" w:color="auto" w:fill="auto"/>
            <w:noWrap/>
            <w:vAlign w:val="center"/>
            <w:hideMark/>
          </w:tcPr>
          <w:p w14:paraId="08D8D43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156</w:t>
            </w:r>
          </w:p>
        </w:tc>
      </w:tr>
      <w:tr w:rsidR="007B0B94" w:rsidRPr="007B0B94" w14:paraId="33FEA74C"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A852DD8"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HR</w:t>
            </w:r>
          </w:p>
        </w:tc>
        <w:tc>
          <w:tcPr>
            <w:tcW w:w="624" w:type="dxa"/>
            <w:tcBorders>
              <w:top w:val="nil"/>
              <w:left w:val="nil"/>
              <w:bottom w:val="single" w:sz="4" w:space="0" w:color="auto"/>
              <w:right w:val="single" w:sz="4" w:space="0" w:color="auto"/>
            </w:tcBorders>
            <w:shd w:val="clear" w:color="auto" w:fill="auto"/>
            <w:noWrap/>
            <w:vAlign w:val="center"/>
            <w:hideMark/>
          </w:tcPr>
          <w:p w14:paraId="023C6C3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31080E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B2D732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9A84AF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850690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3FDA0B1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360</w:t>
            </w:r>
          </w:p>
        </w:tc>
        <w:tc>
          <w:tcPr>
            <w:tcW w:w="624" w:type="dxa"/>
            <w:tcBorders>
              <w:top w:val="nil"/>
              <w:left w:val="nil"/>
              <w:bottom w:val="single" w:sz="4" w:space="0" w:color="auto"/>
              <w:right w:val="single" w:sz="4" w:space="0" w:color="auto"/>
            </w:tcBorders>
            <w:shd w:val="clear" w:color="auto" w:fill="auto"/>
            <w:noWrap/>
            <w:vAlign w:val="center"/>
            <w:hideMark/>
          </w:tcPr>
          <w:p w14:paraId="2AE800D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73</w:t>
            </w:r>
          </w:p>
        </w:tc>
        <w:tc>
          <w:tcPr>
            <w:tcW w:w="624" w:type="dxa"/>
            <w:tcBorders>
              <w:top w:val="nil"/>
              <w:left w:val="nil"/>
              <w:bottom w:val="single" w:sz="4" w:space="0" w:color="auto"/>
              <w:right w:val="single" w:sz="4" w:space="0" w:color="auto"/>
            </w:tcBorders>
            <w:shd w:val="clear" w:color="auto" w:fill="auto"/>
            <w:noWrap/>
            <w:vAlign w:val="center"/>
            <w:hideMark/>
          </w:tcPr>
          <w:p w14:paraId="21760F2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14</w:t>
            </w:r>
          </w:p>
        </w:tc>
        <w:tc>
          <w:tcPr>
            <w:tcW w:w="624" w:type="dxa"/>
            <w:tcBorders>
              <w:top w:val="nil"/>
              <w:left w:val="nil"/>
              <w:bottom w:val="single" w:sz="4" w:space="0" w:color="auto"/>
              <w:right w:val="single" w:sz="4" w:space="0" w:color="auto"/>
            </w:tcBorders>
            <w:shd w:val="clear" w:color="auto" w:fill="auto"/>
            <w:noWrap/>
            <w:vAlign w:val="center"/>
            <w:hideMark/>
          </w:tcPr>
          <w:p w14:paraId="492F2D9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12</w:t>
            </w:r>
          </w:p>
        </w:tc>
        <w:tc>
          <w:tcPr>
            <w:tcW w:w="624" w:type="dxa"/>
            <w:tcBorders>
              <w:top w:val="nil"/>
              <w:left w:val="nil"/>
              <w:bottom w:val="single" w:sz="4" w:space="0" w:color="auto"/>
              <w:right w:val="single" w:sz="4" w:space="0" w:color="auto"/>
            </w:tcBorders>
            <w:shd w:val="clear" w:color="auto" w:fill="auto"/>
            <w:noWrap/>
            <w:vAlign w:val="center"/>
            <w:hideMark/>
          </w:tcPr>
          <w:p w14:paraId="31F4FA6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99</w:t>
            </w:r>
          </w:p>
        </w:tc>
        <w:tc>
          <w:tcPr>
            <w:tcW w:w="624" w:type="dxa"/>
            <w:tcBorders>
              <w:top w:val="nil"/>
              <w:left w:val="nil"/>
              <w:bottom w:val="single" w:sz="4" w:space="0" w:color="auto"/>
              <w:right w:val="single" w:sz="4" w:space="0" w:color="auto"/>
            </w:tcBorders>
            <w:shd w:val="clear" w:color="auto" w:fill="auto"/>
            <w:noWrap/>
            <w:vAlign w:val="center"/>
            <w:hideMark/>
          </w:tcPr>
          <w:p w14:paraId="1E38427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59</w:t>
            </w:r>
          </w:p>
        </w:tc>
        <w:tc>
          <w:tcPr>
            <w:tcW w:w="624" w:type="dxa"/>
            <w:tcBorders>
              <w:top w:val="nil"/>
              <w:left w:val="nil"/>
              <w:bottom w:val="single" w:sz="4" w:space="0" w:color="auto"/>
              <w:right w:val="single" w:sz="4" w:space="0" w:color="auto"/>
            </w:tcBorders>
            <w:shd w:val="clear" w:color="auto" w:fill="auto"/>
            <w:noWrap/>
            <w:vAlign w:val="center"/>
            <w:hideMark/>
          </w:tcPr>
          <w:p w14:paraId="6F5B071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107</w:t>
            </w:r>
          </w:p>
        </w:tc>
        <w:tc>
          <w:tcPr>
            <w:tcW w:w="624" w:type="dxa"/>
            <w:tcBorders>
              <w:top w:val="nil"/>
              <w:left w:val="nil"/>
              <w:bottom w:val="single" w:sz="4" w:space="0" w:color="auto"/>
              <w:right w:val="single" w:sz="4" w:space="0" w:color="auto"/>
            </w:tcBorders>
            <w:shd w:val="clear" w:color="auto" w:fill="auto"/>
            <w:noWrap/>
            <w:vAlign w:val="center"/>
            <w:hideMark/>
          </w:tcPr>
          <w:p w14:paraId="122C66E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51</w:t>
            </w:r>
          </w:p>
        </w:tc>
        <w:tc>
          <w:tcPr>
            <w:tcW w:w="624" w:type="dxa"/>
            <w:tcBorders>
              <w:top w:val="nil"/>
              <w:left w:val="nil"/>
              <w:bottom w:val="single" w:sz="4" w:space="0" w:color="auto"/>
              <w:right w:val="single" w:sz="4" w:space="0" w:color="auto"/>
            </w:tcBorders>
            <w:shd w:val="clear" w:color="auto" w:fill="auto"/>
            <w:noWrap/>
            <w:vAlign w:val="center"/>
            <w:hideMark/>
          </w:tcPr>
          <w:p w14:paraId="4C74B2D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29</w:t>
            </w:r>
          </w:p>
        </w:tc>
      </w:tr>
      <w:tr w:rsidR="007B0B94" w:rsidRPr="007B0B94" w14:paraId="1011A98A"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B64CE5F"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HU</w:t>
            </w:r>
          </w:p>
        </w:tc>
        <w:tc>
          <w:tcPr>
            <w:tcW w:w="624" w:type="dxa"/>
            <w:tcBorders>
              <w:top w:val="nil"/>
              <w:left w:val="nil"/>
              <w:bottom w:val="single" w:sz="4" w:space="0" w:color="auto"/>
              <w:right w:val="single" w:sz="4" w:space="0" w:color="auto"/>
            </w:tcBorders>
            <w:shd w:val="clear" w:color="auto" w:fill="auto"/>
            <w:noWrap/>
            <w:vAlign w:val="center"/>
            <w:hideMark/>
          </w:tcPr>
          <w:p w14:paraId="754E027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CC1043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3CB975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47A750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8E911E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06145E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4EC4821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586</w:t>
            </w:r>
          </w:p>
        </w:tc>
        <w:tc>
          <w:tcPr>
            <w:tcW w:w="624" w:type="dxa"/>
            <w:tcBorders>
              <w:top w:val="nil"/>
              <w:left w:val="nil"/>
              <w:bottom w:val="single" w:sz="4" w:space="0" w:color="auto"/>
              <w:right w:val="single" w:sz="4" w:space="0" w:color="auto"/>
            </w:tcBorders>
            <w:shd w:val="clear" w:color="auto" w:fill="auto"/>
            <w:noWrap/>
            <w:vAlign w:val="center"/>
            <w:hideMark/>
          </w:tcPr>
          <w:p w14:paraId="63C09DC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w:t>
            </w:r>
          </w:p>
        </w:tc>
        <w:tc>
          <w:tcPr>
            <w:tcW w:w="624" w:type="dxa"/>
            <w:tcBorders>
              <w:top w:val="nil"/>
              <w:left w:val="nil"/>
              <w:bottom w:val="single" w:sz="4" w:space="0" w:color="auto"/>
              <w:right w:val="single" w:sz="4" w:space="0" w:color="auto"/>
            </w:tcBorders>
            <w:shd w:val="clear" w:color="auto" w:fill="auto"/>
            <w:noWrap/>
            <w:vAlign w:val="center"/>
            <w:hideMark/>
          </w:tcPr>
          <w:p w14:paraId="6F70BB5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w:t>
            </w:r>
          </w:p>
        </w:tc>
        <w:tc>
          <w:tcPr>
            <w:tcW w:w="624" w:type="dxa"/>
            <w:tcBorders>
              <w:top w:val="nil"/>
              <w:left w:val="nil"/>
              <w:bottom w:val="single" w:sz="4" w:space="0" w:color="auto"/>
              <w:right w:val="single" w:sz="4" w:space="0" w:color="auto"/>
            </w:tcBorders>
            <w:shd w:val="clear" w:color="auto" w:fill="auto"/>
            <w:noWrap/>
            <w:vAlign w:val="center"/>
            <w:hideMark/>
          </w:tcPr>
          <w:p w14:paraId="52CF1A3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136</w:t>
            </w:r>
          </w:p>
        </w:tc>
        <w:tc>
          <w:tcPr>
            <w:tcW w:w="624" w:type="dxa"/>
            <w:tcBorders>
              <w:top w:val="nil"/>
              <w:left w:val="nil"/>
              <w:bottom w:val="single" w:sz="4" w:space="0" w:color="auto"/>
              <w:right w:val="single" w:sz="4" w:space="0" w:color="auto"/>
            </w:tcBorders>
            <w:shd w:val="clear" w:color="auto" w:fill="auto"/>
            <w:noWrap/>
            <w:vAlign w:val="center"/>
            <w:hideMark/>
          </w:tcPr>
          <w:p w14:paraId="6E2CCF1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121</w:t>
            </w:r>
          </w:p>
        </w:tc>
        <w:tc>
          <w:tcPr>
            <w:tcW w:w="624" w:type="dxa"/>
            <w:tcBorders>
              <w:top w:val="nil"/>
              <w:left w:val="nil"/>
              <w:bottom w:val="single" w:sz="4" w:space="0" w:color="auto"/>
              <w:right w:val="single" w:sz="4" w:space="0" w:color="auto"/>
            </w:tcBorders>
            <w:shd w:val="clear" w:color="auto" w:fill="auto"/>
            <w:noWrap/>
            <w:vAlign w:val="center"/>
            <w:hideMark/>
          </w:tcPr>
          <w:p w14:paraId="4811D13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54</w:t>
            </w:r>
          </w:p>
        </w:tc>
        <w:tc>
          <w:tcPr>
            <w:tcW w:w="624" w:type="dxa"/>
            <w:tcBorders>
              <w:top w:val="nil"/>
              <w:left w:val="nil"/>
              <w:bottom w:val="single" w:sz="4" w:space="0" w:color="auto"/>
              <w:right w:val="single" w:sz="4" w:space="0" w:color="auto"/>
            </w:tcBorders>
            <w:shd w:val="clear" w:color="auto" w:fill="auto"/>
            <w:noWrap/>
            <w:vAlign w:val="center"/>
            <w:hideMark/>
          </w:tcPr>
          <w:p w14:paraId="6E95055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89</w:t>
            </w:r>
          </w:p>
        </w:tc>
        <w:tc>
          <w:tcPr>
            <w:tcW w:w="624" w:type="dxa"/>
            <w:tcBorders>
              <w:top w:val="nil"/>
              <w:left w:val="nil"/>
              <w:bottom w:val="single" w:sz="4" w:space="0" w:color="auto"/>
              <w:right w:val="single" w:sz="4" w:space="0" w:color="auto"/>
            </w:tcBorders>
            <w:shd w:val="clear" w:color="auto" w:fill="auto"/>
            <w:noWrap/>
            <w:vAlign w:val="center"/>
            <w:hideMark/>
          </w:tcPr>
          <w:p w14:paraId="65FC032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41</w:t>
            </w:r>
          </w:p>
        </w:tc>
      </w:tr>
      <w:tr w:rsidR="007B0B94" w:rsidRPr="007B0B94" w14:paraId="706117A2"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0A1D9B8"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MD</w:t>
            </w:r>
          </w:p>
        </w:tc>
        <w:tc>
          <w:tcPr>
            <w:tcW w:w="624" w:type="dxa"/>
            <w:tcBorders>
              <w:top w:val="nil"/>
              <w:left w:val="nil"/>
              <w:bottom w:val="single" w:sz="4" w:space="0" w:color="auto"/>
              <w:right w:val="single" w:sz="4" w:space="0" w:color="auto"/>
            </w:tcBorders>
            <w:shd w:val="clear" w:color="auto" w:fill="auto"/>
            <w:noWrap/>
            <w:vAlign w:val="center"/>
            <w:hideMark/>
          </w:tcPr>
          <w:p w14:paraId="2C2A1F5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702237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817E05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706BF2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8E0089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5B594D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21CDB9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182132F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56</w:t>
            </w:r>
          </w:p>
        </w:tc>
        <w:tc>
          <w:tcPr>
            <w:tcW w:w="624" w:type="dxa"/>
            <w:tcBorders>
              <w:top w:val="nil"/>
              <w:left w:val="nil"/>
              <w:bottom w:val="single" w:sz="4" w:space="0" w:color="auto"/>
              <w:right w:val="single" w:sz="4" w:space="0" w:color="auto"/>
            </w:tcBorders>
            <w:shd w:val="clear" w:color="auto" w:fill="auto"/>
            <w:noWrap/>
            <w:vAlign w:val="center"/>
            <w:hideMark/>
          </w:tcPr>
          <w:p w14:paraId="4CAD9C1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w:t>
            </w:r>
          </w:p>
        </w:tc>
        <w:tc>
          <w:tcPr>
            <w:tcW w:w="624" w:type="dxa"/>
            <w:tcBorders>
              <w:top w:val="nil"/>
              <w:left w:val="nil"/>
              <w:bottom w:val="single" w:sz="4" w:space="0" w:color="auto"/>
              <w:right w:val="single" w:sz="4" w:space="0" w:color="auto"/>
            </w:tcBorders>
            <w:shd w:val="clear" w:color="auto" w:fill="auto"/>
            <w:noWrap/>
            <w:vAlign w:val="center"/>
            <w:hideMark/>
          </w:tcPr>
          <w:p w14:paraId="3B497D6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35</w:t>
            </w:r>
          </w:p>
        </w:tc>
        <w:tc>
          <w:tcPr>
            <w:tcW w:w="624" w:type="dxa"/>
            <w:tcBorders>
              <w:top w:val="nil"/>
              <w:left w:val="nil"/>
              <w:bottom w:val="single" w:sz="4" w:space="0" w:color="auto"/>
              <w:right w:val="single" w:sz="4" w:space="0" w:color="auto"/>
            </w:tcBorders>
            <w:shd w:val="clear" w:color="auto" w:fill="auto"/>
            <w:noWrap/>
            <w:vAlign w:val="center"/>
            <w:hideMark/>
          </w:tcPr>
          <w:p w14:paraId="0D5C1BC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17</w:t>
            </w:r>
          </w:p>
        </w:tc>
        <w:tc>
          <w:tcPr>
            <w:tcW w:w="624" w:type="dxa"/>
            <w:tcBorders>
              <w:top w:val="nil"/>
              <w:left w:val="nil"/>
              <w:bottom w:val="single" w:sz="4" w:space="0" w:color="auto"/>
              <w:right w:val="single" w:sz="4" w:space="0" w:color="auto"/>
            </w:tcBorders>
            <w:shd w:val="clear" w:color="auto" w:fill="auto"/>
            <w:noWrap/>
            <w:vAlign w:val="center"/>
            <w:hideMark/>
          </w:tcPr>
          <w:p w14:paraId="21A3635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12</w:t>
            </w:r>
          </w:p>
        </w:tc>
        <w:tc>
          <w:tcPr>
            <w:tcW w:w="624" w:type="dxa"/>
            <w:tcBorders>
              <w:top w:val="nil"/>
              <w:left w:val="nil"/>
              <w:bottom w:val="single" w:sz="4" w:space="0" w:color="auto"/>
              <w:right w:val="single" w:sz="4" w:space="0" w:color="auto"/>
            </w:tcBorders>
            <w:shd w:val="clear" w:color="auto" w:fill="auto"/>
            <w:noWrap/>
            <w:vAlign w:val="center"/>
            <w:hideMark/>
          </w:tcPr>
          <w:p w14:paraId="1426A83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18</w:t>
            </w:r>
          </w:p>
        </w:tc>
        <w:tc>
          <w:tcPr>
            <w:tcW w:w="624" w:type="dxa"/>
            <w:tcBorders>
              <w:top w:val="nil"/>
              <w:left w:val="nil"/>
              <w:bottom w:val="single" w:sz="4" w:space="0" w:color="auto"/>
              <w:right w:val="single" w:sz="4" w:space="0" w:color="auto"/>
            </w:tcBorders>
            <w:shd w:val="clear" w:color="auto" w:fill="auto"/>
            <w:noWrap/>
            <w:vAlign w:val="center"/>
            <w:hideMark/>
          </w:tcPr>
          <w:p w14:paraId="2A112FB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15</w:t>
            </w:r>
          </w:p>
        </w:tc>
      </w:tr>
      <w:tr w:rsidR="007B0B94" w:rsidRPr="007B0B94" w14:paraId="4E99A680"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7D4A7F9"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ME</w:t>
            </w:r>
          </w:p>
        </w:tc>
        <w:tc>
          <w:tcPr>
            <w:tcW w:w="624" w:type="dxa"/>
            <w:tcBorders>
              <w:top w:val="nil"/>
              <w:left w:val="nil"/>
              <w:bottom w:val="single" w:sz="4" w:space="0" w:color="auto"/>
              <w:right w:val="single" w:sz="4" w:space="0" w:color="auto"/>
            </w:tcBorders>
            <w:shd w:val="clear" w:color="auto" w:fill="auto"/>
            <w:noWrap/>
            <w:vAlign w:val="center"/>
            <w:hideMark/>
          </w:tcPr>
          <w:p w14:paraId="143CDAB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D9E8CF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692E9A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D1B54C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C8F782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702778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4AFF81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DCC7A5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687E577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24</w:t>
            </w:r>
          </w:p>
        </w:tc>
        <w:tc>
          <w:tcPr>
            <w:tcW w:w="624" w:type="dxa"/>
            <w:tcBorders>
              <w:top w:val="nil"/>
              <w:left w:val="nil"/>
              <w:bottom w:val="single" w:sz="4" w:space="0" w:color="auto"/>
              <w:right w:val="single" w:sz="4" w:space="0" w:color="auto"/>
            </w:tcBorders>
            <w:shd w:val="clear" w:color="auto" w:fill="auto"/>
            <w:noWrap/>
            <w:vAlign w:val="center"/>
            <w:hideMark/>
          </w:tcPr>
          <w:p w14:paraId="51EE2D5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w:t>
            </w:r>
          </w:p>
        </w:tc>
        <w:tc>
          <w:tcPr>
            <w:tcW w:w="624" w:type="dxa"/>
            <w:tcBorders>
              <w:top w:val="nil"/>
              <w:left w:val="nil"/>
              <w:bottom w:val="single" w:sz="4" w:space="0" w:color="auto"/>
              <w:right w:val="single" w:sz="4" w:space="0" w:color="auto"/>
            </w:tcBorders>
            <w:shd w:val="clear" w:color="auto" w:fill="auto"/>
            <w:noWrap/>
            <w:vAlign w:val="center"/>
            <w:hideMark/>
          </w:tcPr>
          <w:p w14:paraId="394F77B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10</w:t>
            </w:r>
          </w:p>
        </w:tc>
        <w:tc>
          <w:tcPr>
            <w:tcW w:w="624" w:type="dxa"/>
            <w:tcBorders>
              <w:top w:val="nil"/>
              <w:left w:val="nil"/>
              <w:bottom w:val="single" w:sz="4" w:space="0" w:color="auto"/>
              <w:right w:val="single" w:sz="4" w:space="0" w:color="auto"/>
            </w:tcBorders>
            <w:shd w:val="clear" w:color="auto" w:fill="auto"/>
            <w:noWrap/>
            <w:vAlign w:val="center"/>
            <w:hideMark/>
          </w:tcPr>
          <w:p w14:paraId="38B192E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w:t>
            </w:r>
          </w:p>
        </w:tc>
        <w:tc>
          <w:tcPr>
            <w:tcW w:w="624" w:type="dxa"/>
            <w:tcBorders>
              <w:top w:val="nil"/>
              <w:left w:val="nil"/>
              <w:bottom w:val="single" w:sz="4" w:space="0" w:color="auto"/>
              <w:right w:val="single" w:sz="4" w:space="0" w:color="auto"/>
            </w:tcBorders>
            <w:shd w:val="clear" w:color="auto" w:fill="auto"/>
            <w:noWrap/>
            <w:vAlign w:val="center"/>
            <w:hideMark/>
          </w:tcPr>
          <w:p w14:paraId="0F5CC04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w:t>
            </w:r>
          </w:p>
        </w:tc>
        <w:tc>
          <w:tcPr>
            <w:tcW w:w="624" w:type="dxa"/>
            <w:tcBorders>
              <w:top w:val="nil"/>
              <w:left w:val="nil"/>
              <w:bottom w:val="single" w:sz="4" w:space="0" w:color="auto"/>
              <w:right w:val="single" w:sz="4" w:space="0" w:color="auto"/>
            </w:tcBorders>
            <w:shd w:val="clear" w:color="auto" w:fill="auto"/>
            <w:noWrap/>
            <w:vAlign w:val="center"/>
            <w:hideMark/>
          </w:tcPr>
          <w:p w14:paraId="7449CF1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w:t>
            </w:r>
          </w:p>
        </w:tc>
      </w:tr>
      <w:tr w:rsidR="007B0B94" w:rsidRPr="007B0B94" w14:paraId="1BEFAD1D"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79568EB"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RO</w:t>
            </w:r>
          </w:p>
        </w:tc>
        <w:tc>
          <w:tcPr>
            <w:tcW w:w="624" w:type="dxa"/>
            <w:tcBorders>
              <w:top w:val="nil"/>
              <w:left w:val="nil"/>
              <w:bottom w:val="single" w:sz="4" w:space="0" w:color="auto"/>
              <w:right w:val="single" w:sz="4" w:space="0" w:color="auto"/>
            </w:tcBorders>
            <w:shd w:val="clear" w:color="auto" w:fill="auto"/>
            <w:noWrap/>
            <w:vAlign w:val="center"/>
            <w:hideMark/>
          </w:tcPr>
          <w:p w14:paraId="39E6F93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CF3273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734555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DBA442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DD5F87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4AACF9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7E9C6B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E78460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7241AB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3F21CEF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712</w:t>
            </w:r>
          </w:p>
        </w:tc>
        <w:tc>
          <w:tcPr>
            <w:tcW w:w="624" w:type="dxa"/>
            <w:tcBorders>
              <w:top w:val="nil"/>
              <w:left w:val="nil"/>
              <w:bottom w:val="single" w:sz="4" w:space="0" w:color="auto"/>
              <w:right w:val="single" w:sz="4" w:space="0" w:color="auto"/>
            </w:tcBorders>
            <w:shd w:val="clear" w:color="auto" w:fill="auto"/>
            <w:noWrap/>
            <w:vAlign w:val="center"/>
            <w:hideMark/>
          </w:tcPr>
          <w:p w14:paraId="0F0D0C7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63</w:t>
            </w:r>
          </w:p>
        </w:tc>
        <w:tc>
          <w:tcPr>
            <w:tcW w:w="624" w:type="dxa"/>
            <w:tcBorders>
              <w:top w:val="nil"/>
              <w:left w:val="nil"/>
              <w:bottom w:val="single" w:sz="4" w:space="0" w:color="auto"/>
              <w:right w:val="single" w:sz="4" w:space="0" w:color="auto"/>
            </w:tcBorders>
            <w:shd w:val="clear" w:color="auto" w:fill="auto"/>
            <w:noWrap/>
            <w:vAlign w:val="center"/>
            <w:hideMark/>
          </w:tcPr>
          <w:p w14:paraId="02A49A1D"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143</w:t>
            </w:r>
          </w:p>
        </w:tc>
        <w:tc>
          <w:tcPr>
            <w:tcW w:w="624" w:type="dxa"/>
            <w:tcBorders>
              <w:top w:val="nil"/>
              <w:left w:val="nil"/>
              <w:bottom w:val="single" w:sz="4" w:space="0" w:color="auto"/>
              <w:right w:val="single" w:sz="4" w:space="0" w:color="auto"/>
            </w:tcBorders>
            <w:shd w:val="clear" w:color="auto" w:fill="auto"/>
            <w:noWrap/>
            <w:vAlign w:val="center"/>
            <w:hideMark/>
          </w:tcPr>
          <w:p w14:paraId="7FB8EC5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90</w:t>
            </w:r>
          </w:p>
        </w:tc>
        <w:tc>
          <w:tcPr>
            <w:tcW w:w="624" w:type="dxa"/>
            <w:tcBorders>
              <w:top w:val="nil"/>
              <w:left w:val="nil"/>
              <w:bottom w:val="single" w:sz="4" w:space="0" w:color="auto"/>
              <w:right w:val="single" w:sz="4" w:space="0" w:color="auto"/>
            </w:tcBorders>
            <w:shd w:val="clear" w:color="auto" w:fill="auto"/>
            <w:noWrap/>
            <w:vAlign w:val="center"/>
            <w:hideMark/>
          </w:tcPr>
          <w:p w14:paraId="744F294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45</w:t>
            </w:r>
          </w:p>
        </w:tc>
      </w:tr>
      <w:tr w:rsidR="007B0B94" w:rsidRPr="007B0B94" w14:paraId="6D5043B1"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4D0F20C"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RS</w:t>
            </w:r>
          </w:p>
        </w:tc>
        <w:tc>
          <w:tcPr>
            <w:tcW w:w="624" w:type="dxa"/>
            <w:tcBorders>
              <w:top w:val="nil"/>
              <w:left w:val="nil"/>
              <w:bottom w:val="single" w:sz="4" w:space="0" w:color="auto"/>
              <w:right w:val="single" w:sz="4" w:space="0" w:color="auto"/>
            </w:tcBorders>
            <w:shd w:val="clear" w:color="auto" w:fill="auto"/>
            <w:noWrap/>
            <w:vAlign w:val="center"/>
            <w:hideMark/>
          </w:tcPr>
          <w:p w14:paraId="6EE29F4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7048C3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483900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638BD3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9C0106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841C09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D8743A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93AC70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EF2AA0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E713E0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5966A0C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351</w:t>
            </w:r>
          </w:p>
        </w:tc>
        <w:tc>
          <w:tcPr>
            <w:tcW w:w="624" w:type="dxa"/>
            <w:tcBorders>
              <w:top w:val="nil"/>
              <w:left w:val="nil"/>
              <w:bottom w:val="single" w:sz="4" w:space="0" w:color="auto"/>
              <w:right w:val="single" w:sz="4" w:space="0" w:color="auto"/>
            </w:tcBorders>
            <w:shd w:val="clear" w:color="auto" w:fill="auto"/>
            <w:noWrap/>
            <w:vAlign w:val="center"/>
            <w:hideMark/>
          </w:tcPr>
          <w:p w14:paraId="5133290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77</w:t>
            </w:r>
          </w:p>
        </w:tc>
        <w:tc>
          <w:tcPr>
            <w:tcW w:w="624" w:type="dxa"/>
            <w:tcBorders>
              <w:top w:val="nil"/>
              <w:left w:val="nil"/>
              <w:bottom w:val="single" w:sz="4" w:space="0" w:color="auto"/>
              <w:right w:val="single" w:sz="4" w:space="0" w:color="auto"/>
            </w:tcBorders>
            <w:shd w:val="clear" w:color="auto" w:fill="auto"/>
            <w:noWrap/>
            <w:vAlign w:val="center"/>
            <w:hideMark/>
          </w:tcPr>
          <w:p w14:paraId="32BA65A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33</w:t>
            </w:r>
          </w:p>
        </w:tc>
        <w:tc>
          <w:tcPr>
            <w:tcW w:w="624" w:type="dxa"/>
            <w:tcBorders>
              <w:top w:val="nil"/>
              <w:left w:val="nil"/>
              <w:bottom w:val="single" w:sz="4" w:space="0" w:color="auto"/>
              <w:right w:val="single" w:sz="4" w:space="0" w:color="auto"/>
            </w:tcBorders>
            <w:shd w:val="clear" w:color="auto" w:fill="auto"/>
            <w:noWrap/>
            <w:vAlign w:val="center"/>
            <w:hideMark/>
          </w:tcPr>
          <w:p w14:paraId="33DAD5F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26</w:t>
            </w:r>
          </w:p>
        </w:tc>
      </w:tr>
      <w:tr w:rsidR="007B0B94" w:rsidRPr="007B0B94" w14:paraId="1C6EF017"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B41D603"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SI</w:t>
            </w:r>
          </w:p>
        </w:tc>
        <w:tc>
          <w:tcPr>
            <w:tcW w:w="624" w:type="dxa"/>
            <w:tcBorders>
              <w:top w:val="nil"/>
              <w:left w:val="nil"/>
              <w:bottom w:val="single" w:sz="4" w:space="0" w:color="auto"/>
              <w:right w:val="single" w:sz="4" w:space="0" w:color="auto"/>
            </w:tcBorders>
            <w:shd w:val="clear" w:color="auto" w:fill="auto"/>
            <w:noWrap/>
            <w:vAlign w:val="center"/>
            <w:hideMark/>
          </w:tcPr>
          <w:p w14:paraId="67BBFC8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1D436F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54D6CB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6513B5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55D7628"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D8AAD6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C2A3BB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B413D9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0E46B2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5EE76F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857322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742CF4F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748</w:t>
            </w:r>
          </w:p>
        </w:tc>
        <w:tc>
          <w:tcPr>
            <w:tcW w:w="624" w:type="dxa"/>
            <w:tcBorders>
              <w:top w:val="nil"/>
              <w:left w:val="nil"/>
              <w:bottom w:val="single" w:sz="4" w:space="0" w:color="auto"/>
              <w:right w:val="single" w:sz="4" w:space="0" w:color="auto"/>
            </w:tcBorders>
            <w:shd w:val="clear" w:color="auto" w:fill="auto"/>
            <w:noWrap/>
            <w:vAlign w:val="center"/>
            <w:hideMark/>
          </w:tcPr>
          <w:p w14:paraId="7BBF656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78</w:t>
            </w:r>
          </w:p>
        </w:tc>
        <w:tc>
          <w:tcPr>
            <w:tcW w:w="624" w:type="dxa"/>
            <w:tcBorders>
              <w:top w:val="nil"/>
              <w:left w:val="nil"/>
              <w:bottom w:val="single" w:sz="4" w:space="0" w:color="auto"/>
              <w:right w:val="single" w:sz="4" w:space="0" w:color="auto"/>
            </w:tcBorders>
            <w:shd w:val="clear" w:color="auto" w:fill="auto"/>
            <w:noWrap/>
            <w:vAlign w:val="center"/>
            <w:hideMark/>
          </w:tcPr>
          <w:p w14:paraId="78A2E66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37</w:t>
            </w:r>
          </w:p>
        </w:tc>
      </w:tr>
      <w:tr w:rsidR="007B0B94" w:rsidRPr="007B0B94" w14:paraId="748D1CE1"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6FD6C02"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SK</w:t>
            </w:r>
          </w:p>
        </w:tc>
        <w:tc>
          <w:tcPr>
            <w:tcW w:w="624" w:type="dxa"/>
            <w:tcBorders>
              <w:top w:val="nil"/>
              <w:left w:val="nil"/>
              <w:bottom w:val="single" w:sz="4" w:space="0" w:color="auto"/>
              <w:right w:val="single" w:sz="4" w:space="0" w:color="auto"/>
            </w:tcBorders>
            <w:shd w:val="clear" w:color="auto" w:fill="auto"/>
            <w:noWrap/>
            <w:vAlign w:val="center"/>
            <w:hideMark/>
          </w:tcPr>
          <w:p w14:paraId="232577C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F70A1B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EFA0CC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9C919D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62F0338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33F4A7C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BD4E41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1402B8A"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55D3226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FDB980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663C00C"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BCB6A17"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45B1FD79"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334</w:t>
            </w:r>
          </w:p>
        </w:tc>
        <w:tc>
          <w:tcPr>
            <w:tcW w:w="624" w:type="dxa"/>
            <w:tcBorders>
              <w:top w:val="nil"/>
              <w:left w:val="nil"/>
              <w:bottom w:val="single" w:sz="4" w:space="0" w:color="auto"/>
              <w:right w:val="single" w:sz="4" w:space="0" w:color="auto"/>
            </w:tcBorders>
            <w:shd w:val="clear" w:color="auto" w:fill="auto"/>
            <w:noWrap/>
            <w:vAlign w:val="center"/>
            <w:hideMark/>
          </w:tcPr>
          <w:p w14:paraId="5855F461"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42</w:t>
            </w:r>
          </w:p>
        </w:tc>
      </w:tr>
      <w:tr w:rsidR="007B0B94" w:rsidRPr="007B0B94" w14:paraId="013C5046" w14:textId="77777777" w:rsidTr="009C0BF0">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499D64D" w14:textId="77777777" w:rsidR="007B0B94" w:rsidRPr="007B0B94" w:rsidRDefault="007B0B94" w:rsidP="007B0B94">
            <w:pPr>
              <w:spacing w:after="0" w:line="240" w:lineRule="auto"/>
              <w:rPr>
                <w:rFonts w:ascii="Aptos Narrow" w:eastAsia="Times New Roman" w:hAnsi="Aptos Narrow" w:cs="Times New Roman"/>
                <w:b/>
                <w:bCs/>
                <w:color w:val="000000"/>
                <w:lang w:eastAsia="sk-SK"/>
              </w:rPr>
            </w:pPr>
            <w:r w:rsidRPr="007B0B94">
              <w:rPr>
                <w:rFonts w:ascii="Aptos Narrow" w:eastAsia="Times New Roman" w:hAnsi="Aptos Narrow" w:cs="Times New Roman"/>
                <w:b/>
                <w:bCs/>
                <w:color w:val="000000"/>
                <w:lang w:eastAsia="sk-SK"/>
              </w:rPr>
              <w:t>UA</w:t>
            </w:r>
          </w:p>
        </w:tc>
        <w:tc>
          <w:tcPr>
            <w:tcW w:w="624" w:type="dxa"/>
            <w:tcBorders>
              <w:top w:val="nil"/>
              <w:left w:val="nil"/>
              <w:bottom w:val="single" w:sz="4" w:space="0" w:color="auto"/>
              <w:right w:val="single" w:sz="4" w:space="0" w:color="auto"/>
            </w:tcBorders>
            <w:shd w:val="clear" w:color="auto" w:fill="auto"/>
            <w:noWrap/>
            <w:vAlign w:val="center"/>
            <w:hideMark/>
          </w:tcPr>
          <w:p w14:paraId="7CBF3DD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FB409DE"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8EB5C4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0840908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FF43D84"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7E8C19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7570F53"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1F3C4B5"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2FCE40A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1692111F"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CA78150"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4118DCF6"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auto" w:fill="auto"/>
            <w:noWrap/>
            <w:vAlign w:val="center"/>
            <w:hideMark/>
          </w:tcPr>
          <w:p w14:paraId="71E1AFCB"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 </w:t>
            </w:r>
          </w:p>
        </w:tc>
        <w:tc>
          <w:tcPr>
            <w:tcW w:w="624" w:type="dxa"/>
            <w:tcBorders>
              <w:top w:val="nil"/>
              <w:left w:val="nil"/>
              <w:bottom w:val="single" w:sz="4" w:space="0" w:color="auto"/>
              <w:right w:val="single" w:sz="4" w:space="0" w:color="auto"/>
            </w:tcBorders>
            <w:shd w:val="clear" w:color="000000" w:fill="83CCEB"/>
            <w:noWrap/>
            <w:vAlign w:val="center"/>
            <w:hideMark/>
          </w:tcPr>
          <w:p w14:paraId="7A21E432" w14:textId="77777777" w:rsidR="007B0B94" w:rsidRPr="007B0B94" w:rsidRDefault="007B0B94" w:rsidP="007B0B94">
            <w:pPr>
              <w:spacing w:after="0" w:line="240" w:lineRule="auto"/>
              <w:jc w:val="center"/>
              <w:rPr>
                <w:rFonts w:ascii="Aptos Narrow" w:eastAsia="Times New Roman" w:hAnsi="Aptos Narrow" w:cs="Times New Roman"/>
                <w:color w:val="000000"/>
                <w:lang w:eastAsia="sk-SK"/>
              </w:rPr>
            </w:pPr>
            <w:r w:rsidRPr="007B0B94">
              <w:rPr>
                <w:rFonts w:ascii="Aptos Narrow" w:eastAsia="Times New Roman" w:hAnsi="Aptos Narrow" w:cs="Times New Roman"/>
                <w:color w:val="000000"/>
                <w:lang w:eastAsia="sk-SK"/>
              </w:rPr>
              <w:t>227</w:t>
            </w:r>
          </w:p>
        </w:tc>
      </w:tr>
    </w:tbl>
    <w:p w14:paraId="397F91FD" w14:textId="2573DDA5" w:rsidR="007B0B94" w:rsidRDefault="009C0BF0" w:rsidP="009C0BF0">
      <w:pPr>
        <w:jc w:val="right"/>
        <w:rPr>
          <w:lang w:val="en-GB"/>
        </w:rPr>
      </w:pPr>
      <w:r w:rsidRPr="002E7249">
        <w:rPr>
          <w:i/>
          <w:iCs/>
          <w:sz w:val="20"/>
          <w:szCs w:val="20"/>
          <w:lang w:val="en-GB"/>
        </w:rPr>
        <w:t>Data: E-corda</w:t>
      </w:r>
    </w:p>
    <w:p w14:paraId="52055B40" w14:textId="77777777" w:rsidR="007E7FB2" w:rsidRDefault="007E7FB2" w:rsidP="00880460">
      <w:pPr>
        <w:jc w:val="both"/>
      </w:pPr>
    </w:p>
    <w:p w14:paraId="6DBB09DD" w14:textId="77777777" w:rsidR="007E7FB2" w:rsidRPr="007E7FB2" w:rsidRDefault="007E7FB2" w:rsidP="007E7FB2">
      <w:pPr>
        <w:jc w:val="both"/>
        <w:rPr>
          <w:lang w:val="en-GB"/>
        </w:rPr>
      </w:pPr>
      <w:r w:rsidRPr="007E7FB2">
        <w:rPr>
          <w:lang w:val="en-GB"/>
        </w:rPr>
        <w:t xml:space="preserve">Support for researchers’ careers and mobility is one of the key components of Horizon Europe. These projects are primarily funded through the Marie </w:t>
      </w:r>
      <w:proofErr w:type="spellStart"/>
      <w:r w:rsidRPr="007E7FB2">
        <w:rPr>
          <w:lang w:val="en-GB"/>
        </w:rPr>
        <w:t>Skłodowska</w:t>
      </w:r>
      <w:proofErr w:type="spellEnd"/>
      <w:r w:rsidRPr="007E7FB2">
        <w:rPr>
          <w:lang w:val="en-GB"/>
        </w:rPr>
        <w:t>-Curie Actions (MSCA). Every country in the Danube Region has at least one MSCA project.</w:t>
      </w:r>
    </w:p>
    <w:p w14:paraId="4DCA1471" w14:textId="506C799B" w:rsidR="004D5856" w:rsidRPr="007E7FB2" w:rsidRDefault="007E7FB2" w:rsidP="00880460">
      <w:pPr>
        <w:jc w:val="both"/>
        <w:rPr>
          <w:lang w:val="en-GB"/>
        </w:rPr>
      </w:pPr>
      <w:r w:rsidRPr="007E7FB2">
        <w:rPr>
          <w:lang w:val="en-GB"/>
        </w:rPr>
        <w:lastRenderedPageBreak/>
        <w:t>Germany has received the highest EU contribution (€372.99 million), followed by Austria (€84.7 million) and the Czech Republic (€42.24 million). At the opposite end, Bosnia and Herzegovina (€297,550), Montenegro (€1.04 million), and Moldova (€1.48 million) received the lowest contributions. These three countries also have the lowest number of participations, with 6 and 12 respectively. The highest number of participations is recorded in Germany (2,222), Austria (507), and the Czech Republic (301).</w:t>
      </w:r>
      <w:r w:rsidR="00282BD9" w:rsidRPr="007868B7">
        <w:t xml:space="preserve"> </w:t>
      </w:r>
    </w:p>
    <w:p w14:paraId="3399F809" w14:textId="26B9E3BC" w:rsidR="008D664E" w:rsidRPr="001E08A2" w:rsidRDefault="008D664E" w:rsidP="001E08A2">
      <w:pPr>
        <w:pStyle w:val="Popis"/>
        <w:keepNext/>
        <w:spacing w:after="0"/>
        <w:rPr>
          <w:b/>
          <w:bCs/>
          <w:i w:val="0"/>
          <w:iCs w:val="0"/>
          <w:color w:val="auto"/>
          <w:sz w:val="20"/>
          <w:szCs w:val="20"/>
        </w:rPr>
      </w:pPr>
      <w:bookmarkStart w:id="38" w:name="_Toc202166658"/>
      <w:r w:rsidRPr="001E08A2">
        <w:rPr>
          <w:b/>
          <w:bCs/>
          <w:i w:val="0"/>
          <w:iCs w:val="0"/>
          <w:color w:val="auto"/>
          <w:sz w:val="20"/>
          <w:szCs w:val="20"/>
        </w:rPr>
        <w:t xml:space="preserve">Table </w:t>
      </w:r>
      <w:r w:rsidRPr="001E08A2">
        <w:rPr>
          <w:b/>
          <w:bCs/>
          <w:i w:val="0"/>
          <w:iCs w:val="0"/>
          <w:color w:val="auto"/>
          <w:sz w:val="20"/>
          <w:szCs w:val="20"/>
        </w:rPr>
        <w:fldChar w:fldCharType="begin"/>
      </w:r>
      <w:r w:rsidRPr="001E08A2">
        <w:rPr>
          <w:b/>
          <w:bCs/>
          <w:i w:val="0"/>
          <w:iCs w:val="0"/>
          <w:color w:val="auto"/>
          <w:sz w:val="20"/>
          <w:szCs w:val="20"/>
        </w:rPr>
        <w:instrText xml:space="preserve"> SEQ Table \* ARABIC </w:instrText>
      </w:r>
      <w:r w:rsidRPr="001E08A2">
        <w:rPr>
          <w:b/>
          <w:bCs/>
          <w:i w:val="0"/>
          <w:iCs w:val="0"/>
          <w:color w:val="auto"/>
          <w:sz w:val="20"/>
          <w:szCs w:val="20"/>
        </w:rPr>
        <w:fldChar w:fldCharType="separate"/>
      </w:r>
      <w:r w:rsidR="00FA21C8">
        <w:rPr>
          <w:b/>
          <w:bCs/>
          <w:i w:val="0"/>
          <w:iCs w:val="0"/>
          <w:noProof/>
          <w:color w:val="auto"/>
          <w:sz w:val="20"/>
          <w:szCs w:val="20"/>
        </w:rPr>
        <w:t>2</w:t>
      </w:r>
      <w:r w:rsidRPr="001E08A2">
        <w:rPr>
          <w:b/>
          <w:bCs/>
          <w:i w:val="0"/>
          <w:iCs w:val="0"/>
          <w:color w:val="auto"/>
          <w:sz w:val="20"/>
          <w:szCs w:val="20"/>
        </w:rPr>
        <w:fldChar w:fldCharType="end"/>
      </w:r>
      <w:r w:rsidRPr="001E08A2">
        <w:rPr>
          <w:b/>
          <w:bCs/>
          <w:i w:val="0"/>
          <w:iCs w:val="0"/>
          <w:color w:val="auto"/>
          <w:sz w:val="20"/>
          <w:szCs w:val="20"/>
        </w:rPr>
        <w:t xml:space="preserve"> </w:t>
      </w:r>
      <w:proofErr w:type="spellStart"/>
      <w:r w:rsidRPr="001E08A2">
        <w:rPr>
          <w:b/>
          <w:bCs/>
          <w:i w:val="0"/>
          <w:iCs w:val="0"/>
          <w:color w:val="auto"/>
          <w:sz w:val="20"/>
          <w:szCs w:val="20"/>
        </w:rPr>
        <w:t>Participation</w:t>
      </w:r>
      <w:proofErr w:type="spellEnd"/>
      <w:r w:rsidRPr="001E08A2">
        <w:rPr>
          <w:b/>
          <w:bCs/>
          <w:i w:val="0"/>
          <w:iCs w:val="0"/>
          <w:color w:val="auto"/>
          <w:sz w:val="20"/>
          <w:szCs w:val="20"/>
        </w:rPr>
        <w:t xml:space="preserve"> in MSCA</w:t>
      </w:r>
      <w:bookmarkEnd w:id="38"/>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160"/>
        <w:gridCol w:w="1500"/>
      </w:tblGrid>
      <w:tr w:rsidR="004D5856" w:rsidRPr="004D5856" w14:paraId="6144B56A" w14:textId="77777777" w:rsidTr="007868B7">
        <w:trPr>
          <w:trHeight w:val="290"/>
        </w:trPr>
        <w:tc>
          <w:tcPr>
            <w:tcW w:w="960" w:type="dxa"/>
            <w:shd w:val="clear" w:color="26466D" w:fill="26466D"/>
            <w:vAlign w:val="bottom"/>
            <w:hideMark/>
          </w:tcPr>
          <w:p w14:paraId="0DC5443D" w14:textId="77777777" w:rsidR="004D5856" w:rsidRPr="004D5856" w:rsidRDefault="004D5856" w:rsidP="004D5856">
            <w:pPr>
              <w:spacing w:after="0" w:line="240" w:lineRule="auto"/>
              <w:rPr>
                <w:rFonts w:ascii="Calibri" w:eastAsia="Times New Roman" w:hAnsi="Calibri" w:cs="Calibri"/>
                <w:b/>
                <w:bCs/>
                <w:color w:val="FFFFFF"/>
                <w:lang w:eastAsia="sk-SK"/>
              </w:rPr>
            </w:pPr>
            <w:r w:rsidRPr="004D5856">
              <w:rPr>
                <w:rFonts w:ascii="Calibri" w:eastAsia="Times New Roman" w:hAnsi="Calibri" w:cs="Calibri"/>
                <w:b/>
                <w:bCs/>
                <w:color w:val="FFFFFF"/>
                <w:lang w:eastAsia="sk-SK"/>
              </w:rPr>
              <w:t>Country</w:t>
            </w:r>
          </w:p>
        </w:tc>
        <w:tc>
          <w:tcPr>
            <w:tcW w:w="2160" w:type="dxa"/>
            <w:shd w:val="clear" w:color="26466D" w:fill="26466D"/>
            <w:vAlign w:val="bottom"/>
            <w:hideMark/>
          </w:tcPr>
          <w:p w14:paraId="63D78723" w14:textId="77777777" w:rsidR="004D5856" w:rsidRPr="004D5856" w:rsidRDefault="004D5856" w:rsidP="004D5856">
            <w:pPr>
              <w:spacing w:after="0" w:line="240" w:lineRule="auto"/>
              <w:rPr>
                <w:rFonts w:ascii="Calibri" w:eastAsia="Times New Roman" w:hAnsi="Calibri" w:cs="Calibri"/>
                <w:b/>
                <w:bCs/>
                <w:color w:val="FFFFFF"/>
                <w:lang w:eastAsia="sk-SK"/>
              </w:rPr>
            </w:pPr>
            <w:r w:rsidRPr="004D5856">
              <w:rPr>
                <w:rFonts w:ascii="Calibri" w:eastAsia="Times New Roman" w:hAnsi="Calibri" w:cs="Calibri"/>
                <w:b/>
                <w:bCs/>
                <w:color w:val="FFFFFF"/>
                <w:lang w:eastAsia="sk-SK"/>
              </w:rPr>
              <w:t xml:space="preserve">EU </w:t>
            </w:r>
            <w:proofErr w:type="spellStart"/>
            <w:r w:rsidRPr="004D5856">
              <w:rPr>
                <w:rFonts w:ascii="Calibri" w:eastAsia="Times New Roman" w:hAnsi="Calibri" w:cs="Calibri"/>
                <w:b/>
                <w:bCs/>
                <w:color w:val="FFFFFF"/>
                <w:lang w:eastAsia="sk-SK"/>
              </w:rPr>
              <w:t>contribution</w:t>
            </w:r>
            <w:proofErr w:type="spellEnd"/>
          </w:p>
        </w:tc>
        <w:tc>
          <w:tcPr>
            <w:tcW w:w="1500" w:type="dxa"/>
            <w:shd w:val="clear" w:color="26466D" w:fill="26466D"/>
            <w:vAlign w:val="bottom"/>
            <w:hideMark/>
          </w:tcPr>
          <w:p w14:paraId="5E6845A5" w14:textId="77777777" w:rsidR="004D5856" w:rsidRPr="004D5856" w:rsidRDefault="004D5856" w:rsidP="004D5856">
            <w:pPr>
              <w:spacing w:after="0" w:line="240" w:lineRule="auto"/>
              <w:rPr>
                <w:rFonts w:ascii="Calibri" w:eastAsia="Times New Roman" w:hAnsi="Calibri" w:cs="Calibri"/>
                <w:b/>
                <w:bCs/>
                <w:color w:val="FFFFFF"/>
                <w:lang w:eastAsia="sk-SK"/>
              </w:rPr>
            </w:pPr>
            <w:proofErr w:type="spellStart"/>
            <w:r w:rsidRPr="004D5856">
              <w:rPr>
                <w:rFonts w:ascii="Calibri" w:eastAsia="Times New Roman" w:hAnsi="Calibri" w:cs="Calibri"/>
                <w:b/>
                <w:bCs/>
                <w:color w:val="FFFFFF"/>
                <w:lang w:eastAsia="sk-SK"/>
              </w:rPr>
              <w:t>Participations</w:t>
            </w:r>
            <w:proofErr w:type="spellEnd"/>
          </w:p>
        </w:tc>
      </w:tr>
      <w:tr w:rsidR="004D5856" w:rsidRPr="004D5856" w14:paraId="242611E6" w14:textId="77777777" w:rsidTr="007868B7">
        <w:trPr>
          <w:trHeight w:val="290"/>
        </w:trPr>
        <w:tc>
          <w:tcPr>
            <w:tcW w:w="960" w:type="dxa"/>
            <w:shd w:val="clear" w:color="auto" w:fill="auto"/>
            <w:noWrap/>
            <w:vAlign w:val="bottom"/>
            <w:hideMark/>
          </w:tcPr>
          <w:p w14:paraId="23F0819F"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DE</w:t>
            </w:r>
          </w:p>
        </w:tc>
        <w:tc>
          <w:tcPr>
            <w:tcW w:w="2160" w:type="dxa"/>
            <w:shd w:val="clear" w:color="auto" w:fill="auto"/>
            <w:vAlign w:val="bottom"/>
            <w:hideMark/>
          </w:tcPr>
          <w:p w14:paraId="5CA969A2"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372 989 563,90</w:t>
            </w:r>
          </w:p>
        </w:tc>
        <w:tc>
          <w:tcPr>
            <w:tcW w:w="1500" w:type="dxa"/>
            <w:shd w:val="clear" w:color="auto" w:fill="auto"/>
            <w:noWrap/>
            <w:vAlign w:val="bottom"/>
            <w:hideMark/>
          </w:tcPr>
          <w:p w14:paraId="6A464085"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2 222</w:t>
            </w:r>
          </w:p>
        </w:tc>
      </w:tr>
      <w:tr w:rsidR="004D5856" w:rsidRPr="004D5856" w14:paraId="27566D53" w14:textId="77777777" w:rsidTr="007868B7">
        <w:trPr>
          <w:trHeight w:val="290"/>
        </w:trPr>
        <w:tc>
          <w:tcPr>
            <w:tcW w:w="960" w:type="dxa"/>
            <w:shd w:val="clear" w:color="auto" w:fill="auto"/>
            <w:noWrap/>
            <w:vAlign w:val="bottom"/>
            <w:hideMark/>
          </w:tcPr>
          <w:p w14:paraId="63896764"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AT</w:t>
            </w:r>
          </w:p>
        </w:tc>
        <w:tc>
          <w:tcPr>
            <w:tcW w:w="2160" w:type="dxa"/>
            <w:shd w:val="clear" w:color="auto" w:fill="auto"/>
            <w:vAlign w:val="bottom"/>
            <w:hideMark/>
          </w:tcPr>
          <w:p w14:paraId="29504211"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84 697 613,48</w:t>
            </w:r>
          </w:p>
        </w:tc>
        <w:tc>
          <w:tcPr>
            <w:tcW w:w="1500" w:type="dxa"/>
            <w:shd w:val="clear" w:color="auto" w:fill="auto"/>
            <w:noWrap/>
            <w:vAlign w:val="bottom"/>
            <w:hideMark/>
          </w:tcPr>
          <w:p w14:paraId="07035EBF"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507</w:t>
            </w:r>
          </w:p>
        </w:tc>
      </w:tr>
      <w:tr w:rsidR="004D5856" w:rsidRPr="004D5856" w14:paraId="4DEC574C" w14:textId="77777777" w:rsidTr="007868B7">
        <w:trPr>
          <w:trHeight w:val="290"/>
        </w:trPr>
        <w:tc>
          <w:tcPr>
            <w:tcW w:w="960" w:type="dxa"/>
            <w:shd w:val="clear" w:color="auto" w:fill="auto"/>
            <w:noWrap/>
            <w:vAlign w:val="bottom"/>
            <w:hideMark/>
          </w:tcPr>
          <w:p w14:paraId="39ACDBE0"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CZ</w:t>
            </w:r>
          </w:p>
        </w:tc>
        <w:tc>
          <w:tcPr>
            <w:tcW w:w="2160" w:type="dxa"/>
            <w:shd w:val="clear" w:color="auto" w:fill="auto"/>
            <w:vAlign w:val="bottom"/>
            <w:hideMark/>
          </w:tcPr>
          <w:p w14:paraId="377BE83B"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42 237 757,00</w:t>
            </w:r>
          </w:p>
        </w:tc>
        <w:tc>
          <w:tcPr>
            <w:tcW w:w="1500" w:type="dxa"/>
            <w:shd w:val="clear" w:color="auto" w:fill="auto"/>
            <w:noWrap/>
            <w:vAlign w:val="bottom"/>
            <w:hideMark/>
          </w:tcPr>
          <w:p w14:paraId="278900B1"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301</w:t>
            </w:r>
          </w:p>
        </w:tc>
      </w:tr>
      <w:tr w:rsidR="004D5856" w:rsidRPr="004D5856" w14:paraId="415CE26B" w14:textId="77777777" w:rsidTr="007868B7">
        <w:trPr>
          <w:trHeight w:val="290"/>
        </w:trPr>
        <w:tc>
          <w:tcPr>
            <w:tcW w:w="960" w:type="dxa"/>
            <w:shd w:val="clear" w:color="auto" w:fill="auto"/>
            <w:noWrap/>
            <w:vAlign w:val="bottom"/>
            <w:hideMark/>
          </w:tcPr>
          <w:p w14:paraId="7EDDE602"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SI</w:t>
            </w:r>
          </w:p>
        </w:tc>
        <w:tc>
          <w:tcPr>
            <w:tcW w:w="2160" w:type="dxa"/>
            <w:shd w:val="clear" w:color="auto" w:fill="auto"/>
            <w:vAlign w:val="bottom"/>
            <w:hideMark/>
          </w:tcPr>
          <w:p w14:paraId="21CDCE0B"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29 153 307,20</w:t>
            </w:r>
          </w:p>
        </w:tc>
        <w:tc>
          <w:tcPr>
            <w:tcW w:w="1500" w:type="dxa"/>
            <w:shd w:val="clear" w:color="auto" w:fill="auto"/>
            <w:noWrap/>
            <w:vAlign w:val="bottom"/>
            <w:hideMark/>
          </w:tcPr>
          <w:p w14:paraId="6F664473"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151</w:t>
            </w:r>
          </w:p>
        </w:tc>
      </w:tr>
      <w:tr w:rsidR="004D5856" w:rsidRPr="004D5856" w14:paraId="3D82923C" w14:textId="77777777" w:rsidTr="007868B7">
        <w:trPr>
          <w:trHeight w:val="290"/>
        </w:trPr>
        <w:tc>
          <w:tcPr>
            <w:tcW w:w="960" w:type="dxa"/>
            <w:shd w:val="clear" w:color="auto" w:fill="auto"/>
            <w:noWrap/>
            <w:vAlign w:val="bottom"/>
            <w:hideMark/>
          </w:tcPr>
          <w:p w14:paraId="2366F96A"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HU</w:t>
            </w:r>
          </w:p>
        </w:tc>
        <w:tc>
          <w:tcPr>
            <w:tcW w:w="2160" w:type="dxa"/>
            <w:shd w:val="clear" w:color="auto" w:fill="auto"/>
            <w:vAlign w:val="bottom"/>
            <w:hideMark/>
          </w:tcPr>
          <w:p w14:paraId="407B297B"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14 075 274,46</w:t>
            </w:r>
          </w:p>
        </w:tc>
        <w:tc>
          <w:tcPr>
            <w:tcW w:w="1500" w:type="dxa"/>
            <w:shd w:val="clear" w:color="auto" w:fill="auto"/>
            <w:noWrap/>
            <w:vAlign w:val="bottom"/>
            <w:hideMark/>
          </w:tcPr>
          <w:p w14:paraId="4FF32295"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113</w:t>
            </w:r>
          </w:p>
        </w:tc>
      </w:tr>
      <w:tr w:rsidR="004D5856" w:rsidRPr="004D5856" w14:paraId="23AD59B9" w14:textId="77777777" w:rsidTr="007868B7">
        <w:trPr>
          <w:trHeight w:val="290"/>
        </w:trPr>
        <w:tc>
          <w:tcPr>
            <w:tcW w:w="960" w:type="dxa"/>
            <w:shd w:val="clear" w:color="auto" w:fill="auto"/>
            <w:noWrap/>
            <w:vAlign w:val="bottom"/>
            <w:hideMark/>
          </w:tcPr>
          <w:p w14:paraId="5530D50C"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RO</w:t>
            </w:r>
          </w:p>
        </w:tc>
        <w:tc>
          <w:tcPr>
            <w:tcW w:w="2160" w:type="dxa"/>
            <w:shd w:val="clear" w:color="auto" w:fill="auto"/>
            <w:vAlign w:val="bottom"/>
            <w:hideMark/>
          </w:tcPr>
          <w:p w14:paraId="4D6A119D"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9 637 792,17</w:t>
            </w:r>
          </w:p>
        </w:tc>
        <w:tc>
          <w:tcPr>
            <w:tcW w:w="1500" w:type="dxa"/>
            <w:shd w:val="clear" w:color="auto" w:fill="auto"/>
            <w:noWrap/>
            <w:vAlign w:val="bottom"/>
            <w:hideMark/>
          </w:tcPr>
          <w:p w14:paraId="79328F38"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105</w:t>
            </w:r>
          </w:p>
        </w:tc>
      </w:tr>
      <w:tr w:rsidR="004D5856" w:rsidRPr="004D5856" w14:paraId="16CA81B3" w14:textId="77777777" w:rsidTr="007868B7">
        <w:trPr>
          <w:trHeight w:val="290"/>
        </w:trPr>
        <w:tc>
          <w:tcPr>
            <w:tcW w:w="960" w:type="dxa"/>
            <w:shd w:val="clear" w:color="auto" w:fill="auto"/>
            <w:noWrap/>
            <w:vAlign w:val="bottom"/>
            <w:hideMark/>
          </w:tcPr>
          <w:p w14:paraId="4C57C3C8"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RS</w:t>
            </w:r>
          </w:p>
        </w:tc>
        <w:tc>
          <w:tcPr>
            <w:tcW w:w="2160" w:type="dxa"/>
            <w:shd w:val="clear" w:color="auto" w:fill="auto"/>
            <w:vAlign w:val="bottom"/>
            <w:hideMark/>
          </w:tcPr>
          <w:p w14:paraId="5DFEA4A0"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6 826 315,94</w:t>
            </w:r>
          </w:p>
        </w:tc>
        <w:tc>
          <w:tcPr>
            <w:tcW w:w="1500" w:type="dxa"/>
            <w:shd w:val="clear" w:color="auto" w:fill="auto"/>
            <w:noWrap/>
            <w:vAlign w:val="bottom"/>
            <w:hideMark/>
          </w:tcPr>
          <w:p w14:paraId="0CFE6738"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56</w:t>
            </w:r>
          </w:p>
        </w:tc>
      </w:tr>
      <w:tr w:rsidR="004D5856" w:rsidRPr="004D5856" w14:paraId="4624BB6D" w14:textId="77777777" w:rsidTr="007868B7">
        <w:trPr>
          <w:trHeight w:val="290"/>
        </w:trPr>
        <w:tc>
          <w:tcPr>
            <w:tcW w:w="960" w:type="dxa"/>
            <w:shd w:val="clear" w:color="auto" w:fill="auto"/>
            <w:noWrap/>
            <w:vAlign w:val="bottom"/>
            <w:hideMark/>
          </w:tcPr>
          <w:p w14:paraId="71DE65E6"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UA</w:t>
            </w:r>
          </w:p>
        </w:tc>
        <w:tc>
          <w:tcPr>
            <w:tcW w:w="2160" w:type="dxa"/>
            <w:shd w:val="clear" w:color="auto" w:fill="auto"/>
            <w:vAlign w:val="bottom"/>
            <w:hideMark/>
          </w:tcPr>
          <w:p w14:paraId="7BF81965"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6 767 727,20</w:t>
            </w:r>
          </w:p>
        </w:tc>
        <w:tc>
          <w:tcPr>
            <w:tcW w:w="1500" w:type="dxa"/>
            <w:shd w:val="clear" w:color="auto" w:fill="auto"/>
            <w:noWrap/>
            <w:vAlign w:val="bottom"/>
            <w:hideMark/>
          </w:tcPr>
          <w:p w14:paraId="77F326CF"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41</w:t>
            </w:r>
          </w:p>
        </w:tc>
      </w:tr>
      <w:tr w:rsidR="004D5856" w:rsidRPr="004D5856" w14:paraId="381270FD" w14:textId="77777777" w:rsidTr="007868B7">
        <w:trPr>
          <w:trHeight w:val="290"/>
        </w:trPr>
        <w:tc>
          <w:tcPr>
            <w:tcW w:w="960" w:type="dxa"/>
            <w:shd w:val="clear" w:color="auto" w:fill="auto"/>
            <w:noWrap/>
            <w:vAlign w:val="bottom"/>
            <w:hideMark/>
          </w:tcPr>
          <w:p w14:paraId="0A37118D"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HR</w:t>
            </w:r>
          </w:p>
        </w:tc>
        <w:tc>
          <w:tcPr>
            <w:tcW w:w="2160" w:type="dxa"/>
            <w:shd w:val="clear" w:color="auto" w:fill="auto"/>
            <w:vAlign w:val="bottom"/>
            <w:hideMark/>
          </w:tcPr>
          <w:p w14:paraId="7DA9169A"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4 925 073,76</w:t>
            </w:r>
          </w:p>
        </w:tc>
        <w:tc>
          <w:tcPr>
            <w:tcW w:w="1500" w:type="dxa"/>
            <w:shd w:val="clear" w:color="auto" w:fill="auto"/>
            <w:noWrap/>
            <w:vAlign w:val="bottom"/>
            <w:hideMark/>
          </w:tcPr>
          <w:p w14:paraId="5AD4FD9E"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60</w:t>
            </w:r>
          </w:p>
        </w:tc>
      </w:tr>
      <w:tr w:rsidR="004D5856" w:rsidRPr="004D5856" w14:paraId="72F2E530" w14:textId="77777777" w:rsidTr="007868B7">
        <w:trPr>
          <w:trHeight w:val="290"/>
        </w:trPr>
        <w:tc>
          <w:tcPr>
            <w:tcW w:w="960" w:type="dxa"/>
            <w:shd w:val="clear" w:color="auto" w:fill="auto"/>
            <w:noWrap/>
            <w:vAlign w:val="bottom"/>
            <w:hideMark/>
          </w:tcPr>
          <w:p w14:paraId="3685648A"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SK</w:t>
            </w:r>
          </w:p>
        </w:tc>
        <w:tc>
          <w:tcPr>
            <w:tcW w:w="2160" w:type="dxa"/>
            <w:shd w:val="clear" w:color="auto" w:fill="auto"/>
            <w:vAlign w:val="bottom"/>
            <w:hideMark/>
          </w:tcPr>
          <w:p w14:paraId="366ED8AD"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4 597 715,71</w:t>
            </w:r>
          </w:p>
        </w:tc>
        <w:tc>
          <w:tcPr>
            <w:tcW w:w="1500" w:type="dxa"/>
            <w:shd w:val="clear" w:color="auto" w:fill="auto"/>
            <w:noWrap/>
            <w:vAlign w:val="bottom"/>
            <w:hideMark/>
          </w:tcPr>
          <w:p w14:paraId="557B36D1"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49</w:t>
            </w:r>
          </w:p>
        </w:tc>
      </w:tr>
      <w:tr w:rsidR="004D5856" w:rsidRPr="004D5856" w14:paraId="1C2FACA4" w14:textId="77777777" w:rsidTr="007868B7">
        <w:trPr>
          <w:trHeight w:val="290"/>
        </w:trPr>
        <w:tc>
          <w:tcPr>
            <w:tcW w:w="960" w:type="dxa"/>
            <w:shd w:val="clear" w:color="auto" w:fill="auto"/>
            <w:noWrap/>
            <w:vAlign w:val="bottom"/>
            <w:hideMark/>
          </w:tcPr>
          <w:p w14:paraId="6B4F468A"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BG</w:t>
            </w:r>
          </w:p>
        </w:tc>
        <w:tc>
          <w:tcPr>
            <w:tcW w:w="2160" w:type="dxa"/>
            <w:shd w:val="clear" w:color="auto" w:fill="auto"/>
            <w:vAlign w:val="bottom"/>
            <w:hideMark/>
          </w:tcPr>
          <w:p w14:paraId="5B520FBF"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4 236 990,41</w:t>
            </w:r>
          </w:p>
        </w:tc>
        <w:tc>
          <w:tcPr>
            <w:tcW w:w="1500" w:type="dxa"/>
            <w:shd w:val="clear" w:color="auto" w:fill="auto"/>
            <w:noWrap/>
            <w:vAlign w:val="bottom"/>
            <w:hideMark/>
          </w:tcPr>
          <w:p w14:paraId="7632F6B6"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69</w:t>
            </w:r>
          </w:p>
        </w:tc>
      </w:tr>
      <w:tr w:rsidR="004D5856" w:rsidRPr="004D5856" w14:paraId="17F235C0" w14:textId="77777777" w:rsidTr="007868B7">
        <w:trPr>
          <w:trHeight w:val="290"/>
        </w:trPr>
        <w:tc>
          <w:tcPr>
            <w:tcW w:w="960" w:type="dxa"/>
            <w:shd w:val="clear" w:color="auto" w:fill="auto"/>
            <w:noWrap/>
            <w:vAlign w:val="bottom"/>
            <w:hideMark/>
          </w:tcPr>
          <w:p w14:paraId="6BFEC141"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MD</w:t>
            </w:r>
          </w:p>
        </w:tc>
        <w:tc>
          <w:tcPr>
            <w:tcW w:w="2160" w:type="dxa"/>
            <w:shd w:val="clear" w:color="auto" w:fill="auto"/>
            <w:vAlign w:val="bottom"/>
            <w:hideMark/>
          </w:tcPr>
          <w:p w14:paraId="2748C4DD"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1 485 814,00</w:t>
            </w:r>
          </w:p>
        </w:tc>
        <w:tc>
          <w:tcPr>
            <w:tcW w:w="1500" w:type="dxa"/>
            <w:shd w:val="clear" w:color="auto" w:fill="auto"/>
            <w:noWrap/>
            <w:vAlign w:val="bottom"/>
            <w:hideMark/>
          </w:tcPr>
          <w:p w14:paraId="2DB51BA4"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12</w:t>
            </w:r>
          </w:p>
        </w:tc>
      </w:tr>
      <w:tr w:rsidR="004D5856" w:rsidRPr="004D5856" w14:paraId="205BCF37" w14:textId="77777777" w:rsidTr="007868B7">
        <w:trPr>
          <w:trHeight w:val="290"/>
        </w:trPr>
        <w:tc>
          <w:tcPr>
            <w:tcW w:w="960" w:type="dxa"/>
            <w:shd w:val="clear" w:color="auto" w:fill="auto"/>
            <w:noWrap/>
            <w:vAlign w:val="bottom"/>
            <w:hideMark/>
          </w:tcPr>
          <w:p w14:paraId="4204D20E"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ME</w:t>
            </w:r>
          </w:p>
        </w:tc>
        <w:tc>
          <w:tcPr>
            <w:tcW w:w="2160" w:type="dxa"/>
            <w:shd w:val="clear" w:color="auto" w:fill="auto"/>
            <w:vAlign w:val="bottom"/>
            <w:hideMark/>
          </w:tcPr>
          <w:p w14:paraId="4DFB2B9E"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1 036 529,30</w:t>
            </w:r>
          </w:p>
        </w:tc>
        <w:tc>
          <w:tcPr>
            <w:tcW w:w="1500" w:type="dxa"/>
            <w:shd w:val="clear" w:color="auto" w:fill="auto"/>
            <w:noWrap/>
            <w:vAlign w:val="bottom"/>
            <w:hideMark/>
          </w:tcPr>
          <w:p w14:paraId="37C51FA5"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w:t>
            </w:r>
          </w:p>
        </w:tc>
      </w:tr>
      <w:tr w:rsidR="004D5856" w:rsidRPr="004D5856" w14:paraId="5E4427B5" w14:textId="77777777" w:rsidTr="007868B7">
        <w:trPr>
          <w:trHeight w:val="290"/>
        </w:trPr>
        <w:tc>
          <w:tcPr>
            <w:tcW w:w="960" w:type="dxa"/>
            <w:shd w:val="clear" w:color="auto" w:fill="auto"/>
            <w:noWrap/>
            <w:vAlign w:val="bottom"/>
            <w:hideMark/>
          </w:tcPr>
          <w:p w14:paraId="7D293563" w14:textId="77777777" w:rsidR="004D5856" w:rsidRPr="004D5856" w:rsidRDefault="004D5856" w:rsidP="004D5856">
            <w:pPr>
              <w:spacing w:after="0" w:line="240" w:lineRule="auto"/>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BA</w:t>
            </w:r>
          </w:p>
        </w:tc>
        <w:tc>
          <w:tcPr>
            <w:tcW w:w="2160" w:type="dxa"/>
            <w:shd w:val="clear" w:color="auto" w:fill="auto"/>
            <w:vAlign w:val="bottom"/>
            <w:hideMark/>
          </w:tcPr>
          <w:p w14:paraId="30F210F3"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297 550,00</w:t>
            </w:r>
          </w:p>
        </w:tc>
        <w:tc>
          <w:tcPr>
            <w:tcW w:w="1500" w:type="dxa"/>
            <w:shd w:val="clear" w:color="auto" w:fill="auto"/>
            <w:noWrap/>
            <w:vAlign w:val="bottom"/>
            <w:hideMark/>
          </w:tcPr>
          <w:p w14:paraId="51810907" w14:textId="77777777" w:rsidR="004D5856" w:rsidRPr="004D5856" w:rsidRDefault="004D5856" w:rsidP="004D5856">
            <w:pPr>
              <w:spacing w:after="0" w:line="240" w:lineRule="auto"/>
              <w:jc w:val="right"/>
              <w:rPr>
                <w:rFonts w:ascii="Aptos Narrow" w:eastAsia="Times New Roman" w:hAnsi="Aptos Narrow" w:cs="Times New Roman"/>
                <w:color w:val="000000"/>
                <w:lang w:eastAsia="sk-SK"/>
              </w:rPr>
            </w:pPr>
            <w:r w:rsidRPr="004D5856">
              <w:rPr>
                <w:rFonts w:ascii="Aptos Narrow" w:eastAsia="Times New Roman" w:hAnsi="Aptos Narrow" w:cs="Times New Roman"/>
                <w:color w:val="000000"/>
                <w:lang w:eastAsia="sk-SK"/>
              </w:rPr>
              <w:t>6</w:t>
            </w:r>
          </w:p>
        </w:tc>
      </w:tr>
    </w:tbl>
    <w:p w14:paraId="0F76BE27" w14:textId="52413C30" w:rsidR="003E02CE" w:rsidRDefault="009867C0" w:rsidP="009867C0">
      <w:pPr>
        <w:rPr>
          <w:i/>
          <w:iCs/>
          <w:sz w:val="20"/>
          <w:szCs w:val="20"/>
          <w:lang w:val="en-GB"/>
        </w:rPr>
      </w:pPr>
      <w:r>
        <w:rPr>
          <w:i/>
          <w:iCs/>
          <w:sz w:val="20"/>
          <w:szCs w:val="20"/>
          <w:lang w:val="en-GB"/>
        </w:rPr>
        <w:t xml:space="preserve">                                                                                   </w:t>
      </w:r>
      <w:r w:rsidR="003E02CE" w:rsidRPr="002E7249">
        <w:rPr>
          <w:i/>
          <w:iCs/>
          <w:sz w:val="20"/>
          <w:szCs w:val="20"/>
          <w:lang w:val="en-GB"/>
        </w:rPr>
        <w:t>Data: E-corda</w:t>
      </w:r>
    </w:p>
    <w:p w14:paraId="1AA2FDF1" w14:textId="77777777" w:rsidR="00CA609B" w:rsidRDefault="00CA609B" w:rsidP="007868B7">
      <w:pPr>
        <w:jc w:val="both"/>
      </w:pPr>
    </w:p>
    <w:p w14:paraId="376FD6FB" w14:textId="77777777" w:rsidR="00CA609B" w:rsidRPr="00CA609B" w:rsidRDefault="00CA609B" w:rsidP="00CA609B">
      <w:pPr>
        <w:jc w:val="both"/>
        <w:rPr>
          <w:lang w:val="en-GB"/>
        </w:rPr>
      </w:pPr>
      <w:r w:rsidRPr="00CA609B">
        <w:rPr>
          <w:lang w:val="en-GB"/>
        </w:rPr>
        <w:t>ERC grants are the most prestigious individual research grants in Europe. The high level of competition is reflected in the fact that four countries in the Danube Region have not received a single grant. Among non-EU countries, only Serbia has been awarded at least one ERC grant (2). The same number of grants has been awarded to Slovakia (2), while Bulgaria has received one.</w:t>
      </w:r>
    </w:p>
    <w:p w14:paraId="365C9856" w14:textId="0F51299C" w:rsidR="00282BD9" w:rsidRPr="00CA609B" w:rsidRDefault="00CA609B" w:rsidP="007868B7">
      <w:pPr>
        <w:jc w:val="both"/>
        <w:rPr>
          <w:lang w:val="en-GB"/>
        </w:rPr>
      </w:pPr>
      <w:r w:rsidRPr="00CA609B">
        <w:rPr>
          <w:lang w:val="en-GB"/>
        </w:rPr>
        <w:t>Germany leads by a wide margin with 1,144 ERC grants, followed by Austria (217) and the Czech Republic (49). In terms of total EU contribution, Germany again ranks first (€1.86 billion), followed by Austria (€332.47 million) and the Czech Republic (€74.05 million).</w:t>
      </w:r>
    </w:p>
    <w:p w14:paraId="1A830A91" w14:textId="617FB697" w:rsidR="00D37383" w:rsidRPr="00D37383" w:rsidRDefault="00D37383" w:rsidP="00D37383">
      <w:pPr>
        <w:pStyle w:val="Popis"/>
        <w:keepNext/>
        <w:spacing w:after="0"/>
        <w:rPr>
          <w:b/>
          <w:bCs/>
          <w:i w:val="0"/>
          <w:iCs w:val="0"/>
          <w:color w:val="auto"/>
          <w:sz w:val="20"/>
          <w:szCs w:val="20"/>
        </w:rPr>
      </w:pPr>
      <w:bookmarkStart w:id="39" w:name="_Toc202166659"/>
      <w:r w:rsidRPr="00D37383">
        <w:rPr>
          <w:b/>
          <w:bCs/>
          <w:i w:val="0"/>
          <w:iCs w:val="0"/>
          <w:color w:val="auto"/>
          <w:sz w:val="20"/>
          <w:szCs w:val="20"/>
        </w:rPr>
        <w:t xml:space="preserve">Table </w:t>
      </w:r>
      <w:r w:rsidRPr="00D37383">
        <w:rPr>
          <w:b/>
          <w:bCs/>
          <w:i w:val="0"/>
          <w:iCs w:val="0"/>
          <w:color w:val="auto"/>
          <w:sz w:val="20"/>
          <w:szCs w:val="20"/>
        </w:rPr>
        <w:fldChar w:fldCharType="begin"/>
      </w:r>
      <w:r w:rsidRPr="00D37383">
        <w:rPr>
          <w:b/>
          <w:bCs/>
          <w:i w:val="0"/>
          <w:iCs w:val="0"/>
          <w:color w:val="auto"/>
          <w:sz w:val="20"/>
          <w:szCs w:val="20"/>
        </w:rPr>
        <w:instrText xml:space="preserve"> SEQ Table \* ARABIC </w:instrText>
      </w:r>
      <w:r w:rsidRPr="00D37383">
        <w:rPr>
          <w:b/>
          <w:bCs/>
          <w:i w:val="0"/>
          <w:iCs w:val="0"/>
          <w:color w:val="auto"/>
          <w:sz w:val="20"/>
          <w:szCs w:val="20"/>
        </w:rPr>
        <w:fldChar w:fldCharType="separate"/>
      </w:r>
      <w:r w:rsidR="00FA21C8">
        <w:rPr>
          <w:b/>
          <w:bCs/>
          <w:i w:val="0"/>
          <w:iCs w:val="0"/>
          <w:noProof/>
          <w:color w:val="auto"/>
          <w:sz w:val="20"/>
          <w:szCs w:val="20"/>
        </w:rPr>
        <w:t>3</w:t>
      </w:r>
      <w:r w:rsidRPr="00D37383">
        <w:rPr>
          <w:b/>
          <w:bCs/>
          <w:i w:val="0"/>
          <w:iCs w:val="0"/>
          <w:color w:val="auto"/>
          <w:sz w:val="20"/>
          <w:szCs w:val="20"/>
        </w:rPr>
        <w:fldChar w:fldCharType="end"/>
      </w:r>
      <w:r w:rsidRPr="00D37383">
        <w:rPr>
          <w:b/>
          <w:bCs/>
          <w:i w:val="0"/>
          <w:iCs w:val="0"/>
          <w:color w:val="auto"/>
          <w:sz w:val="20"/>
          <w:szCs w:val="20"/>
        </w:rPr>
        <w:t xml:space="preserve"> </w:t>
      </w:r>
      <w:proofErr w:type="spellStart"/>
      <w:r w:rsidRPr="00D37383">
        <w:rPr>
          <w:b/>
          <w:bCs/>
          <w:i w:val="0"/>
          <w:iCs w:val="0"/>
          <w:color w:val="auto"/>
          <w:sz w:val="20"/>
          <w:szCs w:val="20"/>
        </w:rPr>
        <w:t>Participation</w:t>
      </w:r>
      <w:proofErr w:type="spellEnd"/>
      <w:r w:rsidRPr="00D37383">
        <w:rPr>
          <w:b/>
          <w:bCs/>
          <w:i w:val="0"/>
          <w:iCs w:val="0"/>
          <w:color w:val="auto"/>
          <w:sz w:val="20"/>
          <w:szCs w:val="20"/>
        </w:rPr>
        <w:t xml:space="preserve"> in ERC</w:t>
      </w:r>
      <w:bookmarkEnd w:id="39"/>
    </w:p>
    <w:tbl>
      <w:tblPr>
        <w:tblW w:w="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154"/>
        <w:gridCol w:w="1402"/>
      </w:tblGrid>
      <w:tr w:rsidR="009F1228" w:rsidRPr="009F1228" w14:paraId="36672D36" w14:textId="77777777" w:rsidTr="009867C0">
        <w:trPr>
          <w:trHeight w:val="490"/>
        </w:trPr>
        <w:tc>
          <w:tcPr>
            <w:tcW w:w="960" w:type="dxa"/>
            <w:shd w:val="clear" w:color="26466D" w:fill="26466D"/>
            <w:vAlign w:val="bottom"/>
            <w:hideMark/>
          </w:tcPr>
          <w:p w14:paraId="48FC7C01" w14:textId="77777777" w:rsidR="009F1228" w:rsidRPr="009F1228" w:rsidRDefault="009F1228" w:rsidP="009F1228">
            <w:pPr>
              <w:spacing w:after="0" w:line="240" w:lineRule="auto"/>
              <w:rPr>
                <w:rFonts w:ascii="Calibri" w:eastAsia="Times New Roman" w:hAnsi="Calibri" w:cs="Calibri"/>
                <w:b/>
                <w:bCs/>
                <w:color w:val="FFFFFF"/>
                <w:lang w:eastAsia="sk-SK"/>
              </w:rPr>
            </w:pPr>
            <w:r w:rsidRPr="009F1228">
              <w:rPr>
                <w:rFonts w:ascii="Calibri" w:eastAsia="Times New Roman" w:hAnsi="Calibri" w:cs="Calibri"/>
                <w:b/>
                <w:bCs/>
                <w:color w:val="FFFFFF"/>
                <w:lang w:eastAsia="sk-SK"/>
              </w:rPr>
              <w:t>Country</w:t>
            </w:r>
          </w:p>
        </w:tc>
        <w:tc>
          <w:tcPr>
            <w:tcW w:w="2154" w:type="dxa"/>
            <w:shd w:val="clear" w:color="26466D" w:fill="26466D"/>
            <w:vAlign w:val="bottom"/>
            <w:hideMark/>
          </w:tcPr>
          <w:p w14:paraId="192E1CFD" w14:textId="77777777" w:rsidR="009F1228" w:rsidRPr="009F1228" w:rsidRDefault="009F1228" w:rsidP="009F1228">
            <w:pPr>
              <w:spacing w:after="0" w:line="240" w:lineRule="auto"/>
              <w:rPr>
                <w:rFonts w:ascii="Calibri" w:eastAsia="Times New Roman" w:hAnsi="Calibri" w:cs="Calibri"/>
                <w:b/>
                <w:bCs/>
                <w:color w:val="FFFFFF"/>
                <w:lang w:eastAsia="sk-SK"/>
              </w:rPr>
            </w:pPr>
            <w:r w:rsidRPr="009F1228">
              <w:rPr>
                <w:rFonts w:ascii="Calibri" w:eastAsia="Times New Roman" w:hAnsi="Calibri" w:cs="Calibri"/>
                <w:b/>
                <w:bCs/>
                <w:color w:val="FFFFFF"/>
                <w:lang w:eastAsia="sk-SK"/>
              </w:rPr>
              <w:t xml:space="preserve">EU </w:t>
            </w:r>
            <w:proofErr w:type="spellStart"/>
            <w:r w:rsidRPr="009F1228">
              <w:rPr>
                <w:rFonts w:ascii="Calibri" w:eastAsia="Times New Roman" w:hAnsi="Calibri" w:cs="Calibri"/>
                <w:b/>
                <w:bCs/>
                <w:color w:val="FFFFFF"/>
                <w:lang w:eastAsia="sk-SK"/>
              </w:rPr>
              <w:t>contribution</w:t>
            </w:r>
            <w:proofErr w:type="spellEnd"/>
          </w:p>
        </w:tc>
        <w:tc>
          <w:tcPr>
            <w:tcW w:w="1173" w:type="dxa"/>
            <w:shd w:val="clear" w:color="26466D" w:fill="26466D"/>
            <w:vAlign w:val="bottom"/>
            <w:hideMark/>
          </w:tcPr>
          <w:p w14:paraId="191ADB99" w14:textId="77777777" w:rsidR="009F1228" w:rsidRPr="009F1228" w:rsidRDefault="009F1228" w:rsidP="009F1228">
            <w:pPr>
              <w:spacing w:after="0" w:line="240" w:lineRule="auto"/>
              <w:rPr>
                <w:rFonts w:ascii="Calibri" w:eastAsia="Times New Roman" w:hAnsi="Calibri" w:cs="Calibri"/>
                <w:b/>
                <w:bCs/>
                <w:color w:val="FFFFFF"/>
                <w:lang w:eastAsia="sk-SK"/>
              </w:rPr>
            </w:pPr>
            <w:proofErr w:type="spellStart"/>
            <w:r w:rsidRPr="009F1228">
              <w:rPr>
                <w:rFonts w:ascii="Calibri" w:eastAsia="Times New Roman" w:hAnsi="Calibri" w:cs="Calibri"/>
                <w:b/>
                <w:bCs/>
                <w:color w:val="FFFFFF"/>
                <w:lang w:eastAsia="sk-SK"/>
              </w:rPr>
              <w:t>Participations</w:t>
            </w:r>
            <w:proofErr w:type="spellEnd"/>
          </w:p>
        </w:tc>
      </w:tr>
      <w:tr w:rsidR="009F1228" w:rsidRPr="009F1228" w14:paraId="04689BEE" w14:textId="77777777" w:rsidTr="009867C0">
        <w:trPr>
          <w:trHeight w:val="290"/>
        </w:trPr>
        <w:tc>
          <w:tcPr>
            <w:tcW w:w="960" w:type="dxa"/>
            <w:shd w:val="clear" w:color="auto" w:fill="auto"/>
            <w:noWrap/>
            <w:vAlign w:val="bottom"/>
            <w:hideMark/>
          </w:tcPr>
          <w:p w14:paraId="2F3E4609"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DE</w:t>
            </w:r>
          </w:p>
        </w:tc>
        <w:tc>
          <w:tcPr>
            <w:tcW w:w="2154" w:type="dxa"/>
            <w:shd w:val="clear" w:color="auto" w:fill="auto"/>
            <w:noWrap/>
            <w:vAlign w:val="bottom"/>
            <w:hideMark/>
          </w:tcPr>
          <w:p w14:paraId="0311A3CF"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1 865 583 878,38</w:t>
            </w:r>
          </w:p>
        </w:tc>
        <w:tc>
          <w:tcPr>
            <w:tcW w:w="1173" w:type="dxa"/>
            <w:shd w:val="clear" w:color="auto" w:fill="auto"/>
            <w:noWrap/>
            <w:vAlign w:val="bottom"/>
            <w:hideMark/>
          </w:tcPr>
          <w:p w14:paraId="56C5FC30"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1 144</w:t>
            </w:r>
          </w:p>
        </w:tc>
      </w:tr>
      <w:tr w:rsidR="009F1228" w:rsidRPr="009F1228" w14:paraId="126DB7DE" w14:textId="77777777" w:rsidTr="009867C0">
        <w:trPr>
          <w:trHeight w:val="290"/>
        </w:trPr>
        <w:tc>
          <w:tcPr>
            <w:tcW w:w="960" w:type="dxa"/>
            <w:shd w:val="clear" w:color="auto" w:fill="auto"/>
            <w:noWrap/>
            <w:vAlign w:val="bottom"/>
            <w:hideMark/>
          </w:tcPr>
          <w:p w14:paraId="3C329F73"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AT</w:t>
            </w:r>
          </w:p>
        </w:tc>
        <w:tc>
          <w:tcPr>
            <w:tcW w:w="2154" w:type="dxa"/>
            <w:shd w:val="clear" w:color="auto" w:fill="auto"/>
            <w:noWrap/>
            <w:vAlign w:val="bottom"/>
            <w:hideMark/>
          </w:tcPr>
          <w:p w14:paraId="7D1BDC22"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332 478 294,48</w:t>
            </w:r>
          </w:p>
        </w:tc>
        <w:tc>
          <w:tcPr>
            <w:tcW w:w="1173" w:type="dxa"/>
            <w:shd w:val="clear" w:color="auto" w:fill="auto"/>
            <w:noWrap/>
            <w:vAlign w:val="bottom"/>
            <w:hideMark/>
          </w:tcPr>
          <w:p w14:paraId="30D910FE"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217</w:t>
            </w:r>
          </w:p>
        </w:tc>
      </w:tr>
      <w:tr w:rsidR="009F1228" w:rsidRPr="009F1228" w14:paraId="1511AE4F" w14:textId="77777777" w:rsidTr="009867C0">
        <w:trPr>
          <w:trHeight w:val="290"/>
        </w:trPr>
        <w:tc>
          <w:tcPr>
            <w:tcW w:w="960" w:type="dxa"/>
            <w:shd w:val="clear" w:color="auto" w:fill="auto"/>
            <w:noWrap/>
            <w:vAlign w:val="bottom"/>
            <w:hideMark/>
          </w:tcPr>
          <w:p w14:paraId="16338017"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CZ</w:t>
            </w:r>
          </w:p>
        </w:tc>
        <w:tc>
          <w:tcPr>
            <w:tcW w:w="2154" w:type="dxa"/>
            <w:shd w:val="clear" w:color="auto" w:fill="auto"/>
            <w:noWrap/>
            <w:vAlign w:val="bottom"/>
            <w:hideMark/>
          </w:tcPr>
          <w:p w14:paraId="50C5ADEC"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74 045 071,00</w:t>
            </w:r>
          </w:p>
        </w:tc>
        <w:tc>
          <w:tcPr>
            <w:tcW w:w="1173" w:type="dxa"/>
            <w:shd w:val="clear" w:color="auto" w:fill="auto"/>
            <w:noWrap/>
            <w:vAlign w:val="bottom"/>
            <w:hideMark/>
          </w:tcPr>
          <w:p w14:paraId="4AAE2015"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49</w:t>
            </w:r>
          </w:p>
        </w:tc>
      </w:tr>
      <w:tr w:rsidR="009F1228" w:rsidRPr="009F1228" w14:paraId="76475ABA" w14:textId="77777777" w:rsidTr="009867C0">
        <w:trPr>
          <w:trHeight w:val="290"/>
        </w:trPr>
        <w:tc>
          <w:tcPr>
            <w:tcW w:w="960" w:type="dxa"/>
            <w:shd w:val="clear" w:color="auto" w:fill="auto"/>
            <w:noWrap/>
            <w:vAlign w:val="bottom"/>
            <w:hideMark/>
          </w:tcPr>
          <w:p w14:paraId="6258B6A8"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SI</w:t>
            </w:r>
          </w:p>
        </w:tc>
        <w:tc>
          <w:tcPr>
            <w:tcW w:w="2154" w:type="dxa"/>
            <w:shd w:val="clear" w:color="auto" w:fill="auto"/>
            <w:noWrap/>
            <w:vAlign w:val="bottom"/>
            <w:hideMark/>
          </w:tcPr>
          <w:p w14:paraId="00644073"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36 222 663,75</w:t>
            </w:r>
          </w:p>
        </w:tc>
        <w:tc>
          <w:tcPr>
            <w:tcW w:w="1173" w:type="dxa"/>
            <w:shd w:val="clear" w:color="auto" w:fill="auto"/>
            <w:noWrap/>
            <w:vAlign w:val="bottom"/>
            <w:hideMark/>
          </w:tcPr>
          <w:p w14:paraId="21092118"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27</w:t>
            </w:r>
          </w:p>
        </w:tc>
      </w:tr>
      <w:tr w:rsidR="009F1228" w:rsidRPr="009F1228" w14:paraId="567B31CB" w14:textId="77777777" w:rsidTr="009867C0">
        <w:trPr>
          <w:trHeight w:val="290"/>
        </w:trPr>
        <w:tc>
          <w:tcPr>
            <w:tcW w:w="960" w:type="dxa"/>
            <w:shd w:val="clear" w:color="auto" w:fill="auto"/>
            <w:noWrap/>
            <w:vAlign w:val="bottom"/>
            <w:hideMark/>
          </w:tcPr>
          <w:p w14:paraId="2A7084F6"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HU</w:t>
            </w:r>
          </w:p>
        </w:tc>
        <w:tc>
          <w:tcPr>
            <w:tcW w:w="2154" w:type="dxa"/>
            <w:shd w:val="clear" w:color="auto" w:fill="auto"/>
            <w:noWrap/>
            <w:vAlign w:val="bottom"/>
            <w:hideMark/>
          </w:tcPr>
          <w:p w14:paraId="39A9A0B8"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27 214 239,50</w:t>
            </w:r>
          </w:p>
        </w:tc>
        <w:tc>
          <w:tcPr>
            <w:tcW w:w="1173" w:type="dxa"/>
            <w:shd w:val="clear" w:color="auto" w:fill="auto"/>
            <w:noWrap/>
            <w:vAlign w:val="bottom"/>
            <w:hideMark/>
          </w:tcPr>
          <w:p w14:paraId="3B877408"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18</w:t>
            </w:r>
          </w:p>
        </w:tc>
      </w:tr>
      <w:tr w:rsidR="009F1228" w:rsidRPr="009F1228" w14:paraId="07AFBACD" w14:textId="77777777" w:rsidTr="009867C0">
        <w:trPr>
          <w:trHeight w:val="290"/>
        </w:trPr>
        <w:tc>
          <w:tcPr>
            <w:tcW w:w="960" w:type="dxa"/>
            <w:shd w:val="clear" w:color="auto" w:fill="auto"/>
            <w:noWrap/>
            <w:vAlign w:val="bottom"/>
            <w:hideMark/>
          </w:tcPr>
          <w:p w14:paraId="4F321F3F"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RO</w:t>
            </w:r>
          </w:p>
        </w:tc>
        <w:tc>
          <w:tcPr>
            <w:tcW w:w="2154" w:type="dxa"/>
            <w:shd w:val="clear" w:color="auto" w:fill="auto"/>
            <w:noWrap/>
            <w:vAlign w:val="bottom"/>
            <w:hideMark/>
          </w:tcPr>
          <w:p w14:paraId="50E5A04F"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9 093 251,00</w:t>
            </w:r>
          </w:p>
        </w:tc>
        <w:tc>
          <w:tcPr>
            <w:tcW w:w="1173" w:type="dxa"/>
            <w:shd w:val="clear" w:color="auto" w:fill="auto"/>
            <w:noWrap/>
            <w:vAlign w:val="bottom"/>
            <w:hideMark/>
          </w:tcPr>
          <w:p w14:paraId="1443CA2C"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4</w:t>
            </w:r>
          </w:p>
        </w:tc>
      </w:tr>
      <w:tr w:rsidR="009F1228" w:rsidRPr="009F1228" w14:paraId="2B2405AA" w14:textId="77777777" w:rsidTr="009867C0">
        <w:trPr>
          <w:trHeight w:val="290"/>
        </w:trPr>
        <w:tc>
          <w:tcPr>
            <w:tcW w:w="960" w:type="dxa"/>
            <w:shd w:val="clear" w:color="auto" w:fill="auto"/>
            <w:noWrap/>
            <w:vAlign w:val="bottom"/>
            <w:hideMark/>
          </w:tcPr>
          <w:p w14:paraId="7B9E0284"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HR</w:t>
            </w:r>
          </w:p>
        </w:tc>
        <w:tc>
          <w:tcPr>
            <w:tcW w:w="2154" w:type="dxa"/>
            <w:shd w:val="clear" w:color="auto" w:fill="auto"/>
            <w:noWrap/>
            <w:vAlign w:val="bottom"/>
            <w:hideMark/>
          </w:tcPr>
          <w:p w14:paraId="77D37D0F"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4 147 500,00</w:t>
            </w:r>
          </w:p>
        </w:tc>
        <w:tc>
          <w:tcPr>
            <w:tcW w:w="1173" w:type="dxa"/>
            <w:shd w:val="clear" w:color="auto" w:fill="auto"/>
            <w:noWrap/>
            <w:vAlign w:val="bottom"/>
            <w:hideMark/>
          </w:tcPr>
          <w:p w14:paraId="07719313"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5</w:t>
            </w:r>
          </w:p>
        </w:tc>
      </w:tr>
      <w:tr w:rsidR="009F1228" w:rsidRPr="009F1228" w14:paraId="55874DEC" w14:textId="77777777" w:rsidTr="009867C0">
        <w:trPr>
          <w:trHeight w:val="290"/>
        </w:trPr>
        <w:tc>
          <w:tcPr>
            <w:tcW w:w="960" w:type="dxa"/>
            <w:shd w:val="clear" w:color="auto" w:fill="auto"/>
            <w:noWrap/>
            <w:vAlign w:val="bottom"/>
            <w:hideMark/>
          </w:tcPr>
          <w:p w14:paraId="1FFA025B"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SK</w:t>
            </w:r>
          </w:p>
        </w:tc>
        <w:tc>
          <w:tcPr>
            <w:tcW w:w="2154" w:type="dxa"/>
            <w:shd w:val="clear" w:color="auto" w:fill="auto"/>
            <w:noWrap/>
            <w:vAlign w:val="bottom"/>
            <w:hideMark/>
          </w:tcPr>
          <w:p w14:paraId="55392E5B"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1 776 265,00</w:t>
            </w:r>
          </w:p>
        </w:tc>
        <w:tc>
          <w:tcPr>
            <w:tcW w:w="1173" w:type="dxa"/>
            <w:shd w:val="clear" w:color="auto" w:fill="auto"/>
            <w:noWrap/>
            <w:vAlign w:val="bottom"/>
            <w:hideMark/>
          </w:tcPr>
          <w:p w14:paraId="0DB435F9"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2</w:t>
            </w:r>
          </w:p>
        </w:tc>
      </w:tr>
      <w:tr w:rsidR="009F1228" w:rsidRPr="009F1228" w14:paraId="7944B318" w14:textId="77777777" w:rsidTr="009867C0">
        <w:trPr>
          <w:trHeight w:val="290"/>
        </w:trPr>
        <w:tc>
          <w:tcPr>
            <w:tcW w:w="960" w:type="dxa"/>
            <w:shd w:val="clear" w:color="auto" w:fill="auto"/>
            <w:noWrap/>
            <w:vAlign w:val="bottom"/>
            <w:hideMark/>
          </w:tcPr>
          <w:p w14:paraId="42C546FA"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RS</w:t>
            </w:r>
          </w:p>
        </w:tc>
        <w:tc>
          <w:tcPr>
            <w:tcW w:w="2154" w:type="dxa"/>
            <w:shd w:val="clear" w:color="auto" w:fill="auto"/>
            <w:noWrap/>
            <w:vAlign w:val="bottom"/>
            <w:hideMark/>
          </w:tcPr>
          <w:p w14:paraId="2540C268"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1 571 239,00</w:t>
            </w:r>
          </w:p>
        </w:tc>
        <w:tc>
          <w:tcPr>
            <w:tcW w:w="1173" w:type="dxa"/>
            <w:shd w:val="clear" w:color="auto" w:fill="auto"/>
            <w:noWrap/>
            <w:vAlign w:val="bottom"/>
            <w:hideMark/>
          </w:tcPr>
          <w:p w14:paraId="406EE49A"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2</w:t>
            </w:r>
          </w:p>
        </w:tc>
      </w:tr>
      <w:tr w:rsidR="009F1228" w:rsidRPr="009F1228" w14:paraId="0A765242" w14:textId="77777777" w:rsidTr="009867C0">
        <w:trPr>
          <w:trHeight w:val="290"/>
        </w:trPr>
        <w:tc>
          <w:tcPr>
            <w:tcW w:w="960" w:type="dxa"/>
            <w:shd w:val="clear" w:color="auto" w:fill="auto"/>
            <w:noWrap/>
            <w:vAlign w:val="bottom"/>
            <w:hideMark/>
          </w:tcPr>
          <w:p w14:paraId="5B97A70A" w14:textId="77777777" w:rsidR="009F1228" w:rsidRPr="009F1228" w:rsidRDefault="009F1228" w:rsidP="009F1228">
            <w:pPr>
              <w:spacing w:after="0" w:line="240" w:lineRule="auto"/>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BG</w:t>
            </w:r>
          </w:p>
        </w:tc>
        <w:tc>
          <w:tcPr>
            <w:tcW w:w="2154" w:type="dxa"/>
            <w:shd w:val="clear" w:color="auto" w:fill="auto"/>
            <w:noWrap/>
            <w:vAlign w:val="bottom"/>
            <w:hideMark/>
          </w:tcPr>
          <w:p w14:paraId="63F00645"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143 625,00</w:t>
            </w:r>
          </w:p>
        </w:tc>
        <w:tc>
          <w:tcPr>
            <w:tcW w:w="1173" w:type="dxa"/>
            <w:shd w:val="clear" w:color="auto" w:fill="auto"/>
            <w:noWrap/>
            <w:vAlign w:val="bottom"/>
            <w:hideMark/>
          </w:tcPr>
          <w:p w14:paraId="0A2D6487" w14:textId="77777777" w:rsidR="009F1228" w:rsidRPr="009F1228" w:rsidRDefault="009F1228" w:rsidP="009F1228">
            <w:pPr>
              <w:spacing w:after="0" w:line="240" w:lineRule="auto"/>
              <w:jc w:val="right"/>
              <w:rPr>
                <w:rFonts w:ascii="Aptos Narrow" w:eastAsia="Times New Roman" w:hAnsi="Aptos Narrow" w:cs="Times New Roman"/>
                <w:color w:val="000000"/>
                <w:lang w:eastAsia="sk-SK"/>
              </w:rPr>
            </w:pPr>
            <w:r w:rsidRPr="009F1228">
              <w:rPr>
                <w:rFonts w:ascii="Aptos Narrow" w:eastAsia="Times New Roman" w:hAnsi="Aptos Narrow" w:cs="Times New Roman"/>
                <w:color w:val="000000"/>
                <w:lang w:eastAsia="sk-SK"/>
              </w:rPr>
              <w:t>1</w:t>
            </w:r>
          </w:p>
        </w:tc>
      </w:tr>
    </w:tbl>
    <w:p w14:paraId="4263F4DF" w14:textId="3CDE2C46" w:rsidR="009F1228" w:rsidRDefault="009867C0" w:rsidP="009867C0">
      <w:pPr>
        <w:rPr>
          <w:i/>
          <w:iCs/>
          <w:sz w:val="20"/>
          <w:szCs w:val="20"/>
          <w:lang w:val="en-GB"/>
        </w:rPr>
      </w:pPr>
      <w:r>
        <w:rPr>
          <w:i/>
          <w:iCs/>
          <w:sz w:val="20"/>
          <w:szCs w:val="20"/>
          <w:lang w:val="en-GB"/>
        </w:rPr>
        <w:t xml:space="preserve">                                                                                </w:t>
      </w:r>
      <w:r w:rsidR="009F1228" w:rsidRPr="002E7249">
        <w:rPr>
          <w:i/>
          <w:iCs/>
          <w:sz w:val="20"/>
          <w:szCs w:val="20"/>
          <w:lang w:val="en-GB"/>
        </w:rPr>
        <w:t>Data: E-corda</w:t>
      </w:r>
    </w:p>
    <w:p w14:paraId="5539C4E3" w14:textId="58E780DB" w:rsidR="00330661" w:rsidRPr="00FD1E82" w:rsidRDefault="00330661" w:rsidP="00330661">
      <w:pPr>
        <w:pStyle w:val="Nadpis2"/>
        <w:numPr>
          <w:ilvl w:val="1"/>
          <w:numId w:val="1"/>
        </w:numPr>
        <w:spacing w:after="120"/>
        <w:rPr>
          <w:b/>
          <w:lang w:val="en-GB"/>
        </w:rPr>
      </w:pPr>
      <w:bookmarkStart w:id="40" w:name="_Toc107413810"/>
      <w:bookmarkStart w:id="41" w:name="_Toc202166686"/>
      <w:r w:rsidRPr="14C8C12D">
        <w:rPr>
          <w:b/>
          <w:bCs/>
          <w:lang w:val="en-GB"/>
        </w:rPr>
        <w:lastRenderedPageBreak/>
        <w:t>Outputs from research and innovation activities</w:t>
      </w:r>
      <w:bookmarkEnd w:id="40"/>
      <w:bookmarkEnd w:id="41"/>
    </w:p>
    <w:p w14:paraId="3EB58846" w14:textId="77777777" w:rsidR="00330661" w:rsidRDefault="00330661" w:rsidP="003B0255">
      <w:pPr>
        <w:jc w:val="both"/>
        <w:rPr>
          <w:i/>
          <w:iCs/>
          <w:sz w:val="20"/>
          <w:szCs w:val="20"/>
        </w:rPr>
      </w:pPr>
    </w:p>
    <w:p w14:paraId="1BCBB910" w14:textId="77777777" w:rsidR="00530096" w:rsidRPr="00530096" w:rsidRDefault="00530096" w:rsidP="00530096">
      <w:pPr>
        <w:jc w:val="both"/>
        <w:rPr>
          <w:lang w:val="en-GB"/>
        </w:rPr>
      </w:pPr>
      <w:r w:rsidRPr="00530096">
        <w:rPr>
          <w:lang w:val="en-GB"/>
        </w:rPr>
        <w:t>The primary outputs of research and innovation activities are publications and patents. The quality of publications can be assessed by the number of citations they receive. At the country level, one of the key indicators of publication quality is the share of publications among the top 10% most cited globally.</w:t>
      </w:r>
    </w:p>
    <w:p w14:paraId="152B50E2" w14:textId="35491D9A" w:rsidR="00BD18BE" w:rsidRPr="00481807" w:rsidRDefault="00530096" w:rsidP="003B0255">
      <w:pPr>
        <w:jc w:val="both"/>
        <w:rPr>
          <w:lang w:val="en-GB"/>
        </w:rPr>
      </w:pPr>
      <w:r w:rsidRPr="00530096">
        <w:rPr>
          <w:lang w:val="en-GB"/>
        </w:rPr>
        <w:t>Within the EU, the Netherlands has the highest share of such publications (14.39%). It is followed by two non-EU countries—the United Kingdom (13.84%) and Switzerland (13.78%). Among the countries of the Danube Region, Austria leads with 10.5%, followed by Germany (10.38%) and Slovenia (7.79%). The lowest shares are observed in Moldova (2.31%), Ukraine (2.84%), and Bosnia and Herzegovina (3.09%).</w:t>
      </w:r>
      <w:r w:rsidR="00FF0C5A">
        <w:t xml:space="preserve"> </w:t>
      </w:r>
    </w:p>
    <w:p w14:paraId="382A3842" w14:textId="5082B1D6" w:rsidR="006F6FDD" w:rsidRPr="006F6FDD" w:rsidRDefault="006F6FDD" w:rsidP="006F6FDD">
      <w:pPr>
        <w:pStyle w:val="Popis"/>
        <w:keepNext/>
        <w:spacing w:after="0"/>
        <w:rPr>
          <w:b/>
          <w:bCs/>
          <w:i w:val="0"/>
          <w:iCs w:val="0"/>
          <w:color w:val="auto"/>
          <w:sz w:val="20"/>
          <w:szCs w:val="20"/>
        </w:rPr>
      </w:pPr>
      <w:bookmarkStart w:id="42" w:name="_Toc202166650"/>
      <w:proofErr w:type="spellStart"/>
      <w:r w:rsidRPr="006F6FDD">
        <w:rPr>
          <w:b/>
          <w:bCs/>
          <w:i w:val="0"/>
          <w:iCs w:val="0"/>
          <w:color w:val="auto"/>
          <w:sz w:val="20"/>
          <w:szCs w:val="20"/>
        </w:rPr>
        <w:t>Graph</w:t>
      </w:r>
      <w:proofErr w:type="spellEnd"/>
      <w:r w:rsidRPr="006F6FDD">
        <w:rPr>
          <w:b/>
          <w:bCs/>
          <w:i w:val="0"/>
          <w:iCs w:val="0"/>
          <w:color w:val="auto"/>
          <w:sz w:val="20"/>
          <w:szCs w:val="20"/>
        </w:rPr>
        <w:t xml:space="preserve">  </w:t>
      </w:r>
      <w:r w:rsidRPr="006F6FDD">
        <w:rPr>
          <w:b/>
          <w:bCs/>
          <w:i w:val="0"/>
          <w:iCs w:val="0"/>
          <w:color w:val="auto"/>
          <w:sz w:val="20"/>
          <w:szCs w:val="20"/>
        </w:rPr>
        <w:fldChar w:fldCharType="begin"/>
      </w:r>
      <w:r w:rsidRPr="006F6FDD">
        <w:rPr>
          <w:b/>
          <w:bCs/>
          <w:i w:val="0"/>
          <w:iCs w:val="0"/>
          <w:color w:val="auto"/>
          <w:sz w:val="20"/>
          <w:szCs w:val="20"/>
        </w:rPr>
        <w:instrText xml:space="preserve"> SEQ Graph_ \* ARABIC </w:instrText>
      </w:r>
      <w:r w:rsidRPr="006F6FDD">
        <w:rPr>
          <w:b/>
          <w:bCs/>
          <w:i w:val="0"/>
          <w:iCs w:val="0"/>
          <w:color w:val="auto"/>
          <w:sz w:val="20"/>
          <w:szCs w:val="20"/>
        </w:rPr>
        <w:fldChar w:fldCharType="separate"/>
      </w:r>
      <w:r w:rsidR="00FE761C">
        <w:rPr>
          <w:b/>
          <w:bCs/>
          <w:i w:val="0"/>
          <w:iCs w:val="0"/>
          <w:noProof/>
          <w:color w:val="auto"/>
          <w:sz w:val="20"/>
          <w:szCs w:val="20"/>
        </w:rPr>
        <w:t>20</w:t>
      </w:r>
      <w:r w:rsidRPr="006F6FDD">
        <w:rPr>
          <w:b/>
          <w:bCs/>
          <w:i w:val="0"/>
          <w:iCs w:val="0"/>
          <w:color w:val="auto"/>
          <w:sz w:val="20"/>
          <w:szCs w:val="20"/>
        </w:rPr>
        <w:fldChar w:fldCharType="end"/>
      </w:r>
      <w:r w:rsidRPr="006F6FDD">
        <w:rPr>
          <w:b/>
          <w:bCs/>
          <w:i w:val="0"/>
          <w:iCs w:val="0"/>
          <w:color w:val="auto"/>
          <w:sz w:val="20"/>
          <w:szCs w:val="20"/>
        </w:rPr>
        <w:t xml:space="preserve"> </w:t>
      </w:r>
      <w:proofErr w:type="spellStart"/>
      <w:r w:rsidRPr="006F6FDD">
        <w:rPr>
          <w:b/>
          <w:bCs/>
          <w:i w:val="0"/>
          <w:iCs w:val="0"/>
          <w:color w:val="auto"/>
          <w:sz w:val="20"/>
          <w:szCs w:val="20"/>
        </w:rPr>
        <w:t>Scientific</w:t>
      </w:r>
      <w:proofErr w:type="spellEnd"/>
      <w:r w:rsidRPr="006F6FDD">
        <w:rPr>
          <w:b/>
          <w:bCs/>
          <w:i w:val="0"/>
          <w:iCs w:val="0"/>
          <w:color w:val="auto"/>
          <w:sz w:val="20"/>
          <w:szCs w:val="20"/>
        </w:rPr>
        <w:t xml:space="preserve"> </w:t>
      </w:r>
      <w:proofErr w:type="spellStart"/>
      <w:r w:rsidRPr="006F6FDD">
        <w:rPr>
          <w:b/>
          <w:bCs/>
          <w:i w:val="0"/>
          <w:iCs w:val="0"/>
          <w:color w:val="auto"/>
          <w:sz w:val="20"/>
          <w:szCs w:val="20"/>
        </w:rPr>
        <w:t>publications</w:t>
      </w:r>
      <w:proofErr w:type="spellEnd"/>
      <w:r w:rsidRPr="006F6FDD">
        <w:rPr>
          <w:b/>
          <w:bCs/>
          <w:i w:val="0"/>
          <w:iCs w:val="0"/>
          <w:color w:val="auto"/>
          <w:sz w:val="20"/>
          <w:szCs w:val="20"/>
        </w:rPr>
        <w:t xml:space="preserve"> </w:t>
      </w:r>
      <w:proofErr w:type="spellStart"/>
      <w:r w:rsidRPr="006F6FDD">
        <w:rPr>
          <w:b/>
          <w:bCs/>
          <w:i w:val="0"/>
          <w:iCs w:val="0"/>
          <w:color w:val="auto"/>
          <w:sz w:val="20"/>
          <w:szCs w:val="20"/>
        </w:rPr>
        <w:t>among</w:t>
      </w:r>
      <w:proofErr w:type="spellEnd"/>
      <w:r w:rsidRPr="006F6FDD">
        <w:rPr>
          <w:b/>
          <w:bCs/>
          <w:i w:val="0"/>
          <w:iCs w:val="0"/>
          <w:color w:val="auto"/>
          <w:sz w:val="20"/>
          <w:szCs w:val="20"/>
        </w:rPr>
        <w:t xml:space="preserve"> </w:t>
      </w:r>
      <w:proofErr w:type="spellStart"/>
      <w:r w:rsidRPr="006F6FDD">
        <w:rPr>
          <w:b/>
          <w:bCs/>
          <w:i w:val="0"/>
          <w:iCs w:val="0"/>
          <w:color w:val="auto"/>
          <w:sz w:val="20"/>
          <w:szCs w:val="20"/>
        </w:rPr>
        <w:t>the</w:t>
      </w:r>
      <w:proofErr w:type="spellEnd"/>
      <w:r w:rsidRPr="006F6FDD">
        <w:rPr>
          <w:b/>
          <w:bCs/>
          <w:i w:val="0"/>
          <w:iCs w:val="0"/>
          <w:color w:val="auto"/>
          <w:sz w:val="20"/>
          <w:szCs w:val="20"/>
        </w:rPr>
        <w:t xml:space="preserve"> top 10% most </w:t>
      </w:r>
      <w:proofErr w:type="spellStart"/>
      <w:r w:rsidRPr="006F6FDD">
        <w:rPr>
          <w:b/>
          <w:bCs/>
          <w:i w:val="0"/>
          <w:iCs w:val="0"/>
          <w:color w:val="auto"/>
          <w:sz w:val="20"/>
          <w:szCs w:val="20"/>
        </w:rPr>
        <w:t>cited</w:t>
      </w:r>
      <w:bookmarkEnd w:id="42"/>
      <w:proofErr w:type="spellEnd"/>
    </w:p>
    <w:p w14:paraId="6A1E9FE7" w14:textId="2C5F1B1E" w:rsidR="00330661" w:rsidRDefault="00B02FCE" w:rsidP="00B02FCE">
      <w:pPr>
        <w:spacing w:after="0"/>
        <w:rPr>
          <w:i/>
          <w:iCs/>
          <w:sz w:val="20"/>
          <w:szCs w:val="20"/>
        </w:rPr>
      </w:pPr>
      <w:r>
        <w:rPr>
          <w:noProof/>
          <w14:ligatures w14:val="standardContextual"/>
        </w:rPr>
        <w:drawing>
          <wp:inline distT="0" distB="0" distL="0" distR="0" wp14:anchorId="57A02869" wp14:editId="34BF25CE">
            <wp:extent cx="5759450" cy="2880000"/>
            <wp:effectExtent l="0" t="0" r="12700" b="15875"/>
            <wp:docPr id="869348991" name="Graf 1">
              <a:extLst xmlns:a="http://schemas.openxmlformats.org/drawingml/2006/main">
                <a:ext uri="{FF2B5EF4-FFF2-40B4-BE49-F238E27FC236}">
                  <a16:creationId xmlns:a16="http://schemas.microsoft.com/office/drawing/2014/main" id="{6DA1A421-8168-49FA-97EF-E389174C8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024081" w14:textId="3F5FC62A" w:rsidR="00FC2F8A" w:rsidRDefault="00B02FCE" w:rsidP="009F0F19">
      <w:pPr>
        <w:jc w:val="right"/>
        <w:rPr>
          <w:i/>
          <w:iCs/>
          <w:sz w:val="20"/>
          <w:szCs w:val="20"/>
        </w:rPr>
      </w:pPr>
      <w:proofErr w:type="spellStart"/>
      <w:r>
        <w:rPr>
          <w:i/>
          <w:iCs/>
          <w:sz w:val="20"/>
          <w:szCs w:val="20"/>
        </w:rPr>
        <w:t>Source</w:t>
      </w:r>
      <w:proofErr w:type="spellEnd"/>
      <w:r>
        <w:rPr>
          <w:i/>
          <w:iCs/>
          <w:sz w:val="20"/>
          <w:szCs w:val="20"/>
        </w:rPr>
        <w:t>: EIS 2024</w:t>
      </w:r>
    </w:p>
    <w:p w14:paraId="4596A418" w14:textId="77777777" w:rsidR="00E9733F" w:rsidRDefault="00E9733F" w:rsidP="00DF0269">
      <w:pPr>
        <w:jc w:val="both"/>
      </w:pPr>
    </w:p>
    <w:p w14:paraId="00A5C8C0" w14:textId="599D3EAA" w:rsidR="0004693A" w:rsidRPr="00E06CAC" w:rsidRDefault="0004693A" w:rsidP="00DF0269">
      <w:pPr>
        <w:jc w:val="both"/>
        <w:rPr>
          <w:lang w:val="en-GB"/>
        </w:rPr>
      </w:pPr>
      <w:r w:rsidRPr="00E06CAC">
        <w:rPr>
          <w:lang w:val="en-GB"/>
        </w:rPr>
        <w:t>In 2024, Austria recorded the highest number of scientific publications per one million inhabitants (3,605), followed by Slovenia (3,506) and the Czech Republic (2,244). The lowest numbers were observed in Moldova (207), Ukraine (331), and Bosnia and Herzegovina (550). The differences between countries in the Danube Region are substantial.</w:t>
      </w:r>
    </w:p>
    <w:p w14:paraId="573B5740" w14:textId="198CAB10" w:rsidR="00125C6E" w:rsidRPr="00125C6E" w:rsidRDefault="00125C6E" w:rsidP="00125C6E">
      <w:pPr>
        <w:pStyle w:val="Popis"/>
        <w:keepNext/>
        <w:spacing w:after="0"/>
        <w:rPr>
          <w:b/>
          <w:bCs/>
          <w:i w:val="0"/>
          <w:iCs w:val="0"/>
          <w:color w:val="auto"/>
          <w:sz w:val="20"/>
          <w:szCs w:val="20"/>
        </w:rPr>
      </w:pPr>
      <w:bookmarkStart w:id="43" w:name="_Toc202166660"/>
      <w:r w:rsidRPr="00125C6E">
        <w:rPr>
          <w:b/>
          <w:bCs/>
          <w:i w:val="0"/>
          <w:iCs w:val="0"/>
          <w:color w:val="auto"/>
          <w:sz w:val="20"/>
          <w:szCs w:val="20"/>
        </w:rPr>
        <w:t xml:space="preserve">Table </w:t>
      </w:r>
      <w:r w:rsidRPr="00125C6E">
        <w:rPr>
          <w:b/>
          <w:bCs/>
          <w:i w:val="0"/>
          <w:iCs w:val="0"/>
          <w:color w:val="auto"/>
          <w:sz w:val="20"/>
          <w:szCs w:val="20"/>
        </w:rPr>
        <w:fldChar w:fldCharType="begin"/>
      </w:r>
      <w:r w:rsidRPr="00125C6E">
        <w:rPr>
          <w:b/>
          <w:bCs/>
          <w:i w:val="0"/>
          <w:iCs w:val="0"/>
          <w:color w:val="auto"/>
          <w:sz w:val="20"/>
          <w:szCs w:val="20"/>
        </w:rPr>
        <w:instrText xml:space="preserve"> SEQ Table \* ARABIC </w:instrText>
      </w:r>
      <w:r w:rsidRPr="00125C6E">
        <w:rPr>
          <w:b/>
          <w:bCs/>
          <w:i w:val="0"/>
          <w:iCs w:val="0"/>
          <w:color w:val="auto"/>
          <w:sz w:val="20"/>
          <w:szCs w:val="20"/>
        </w:rPr>
        <w:fldChar w:fldCharType="separate"/>
      </w:r>
      <w:r w:rsidR="00FA21C8">
        <w:rPr>
          <w:b/>
          <w:bCs/>
          <w:i w:val="0"/>
          <w:iCs w:val="0"/>
          <w:noProof/>
          <w:color w:val="auto"/>
          <w:sz w:val="20"/>
          <w:szCs w:val="20"/>
        </w:rPr>
        <w:t>4</w:t>
      </w:r>
      <w:r w:rsidRPr="00125C6E">
        <w:rPr>
          <w:b/>
          <w:bCs/>
          <w:i w:val="0"/>
          <w:iCs w:val="0"/>
          <w:color w:val="auto"/>
          <w:sz w:val="20"/>
          <w:szCs w:val="20"/>
        </w:rPr>
        <w:fldChar w:fldCharType="end"/>
      </w:r>
      <w:r w:rsidRPr="00125C6E">
        <w:rPr>
          <w:b/>
          <w:bCs/>
          <w:i w:val="0"/>
          <w:iCs w:val="0"/>
          <w:color w:val="auto"/>
          <w:sz w:val="20"/>
          <w:szCs w:val="20"/>
        </w:rPr>
        <w:t xml:space="preserve"> </w:t>
      </w:r>
      <w:proofErr w:type="spellStart"/>
      <w:r w:rsidRPr="00125C6E">
        <w:rPr>
          <w:b/>
          <w:bCs/>
          <w:i w:val="0"/>
          <w:iCs w:val="0"/>
          <w:color w:val="auto"/>
          <w:sz w:val="20"/>
          <w:szCs w:val="20"/>
        </w:rPr>
        <w:t>Number</w:t>
      </w:r>
      <w:proofErr w:type="spellEnd"/>
      <w:r w:rsidRPr="00125C6E">
        <w:rPr>
          <w:b/>
          <w:bCs/>
          <w:i w:val="0"/>
          <w:iCs w:val="0"/>
          <w:color w:val="auto"/>
          <w:sz w:val="20"/>
          <w:szCs w:val="20"/>
        </w:rPr>
        <w:t xml:space="preserve"> of </w:t>
      </w:r>
      <w:proofErr w:type="spellStart"/>
      <w:r w:rsidRPr="00125C6E">
        <w:rPr>
          <w:b/>
          <w:bCs/>
          <w:i w:val="0"/>
          <w:iCs w:val="0"/>
          <w:color w:val="auto"/>
          <w:sz w:val="20"/>
          <w:szCs w:val="20"/>
        </w:rPr>
        <w:t>publications</w:t>
      </w:r>
      <w:proofErr w:type="spellEnd"/>
      <w:r w:rsidRPr="00125C6E">
        <w:rPr>
          <w:b/>
          <w:bCs/>
          <w:i w:val="0"/>
          <w:iCs w:val="0"/>
          <w:color w:val="auto"/>
          <w:sz w:val="20"/>
          <w:szCs w:val="20"/>
        </w:rPr>
        <w:t xml:space="preserve">  per </w:t>
      </w:r>
      <w:proofErr w:type="spellStart"/>
      <w:r w:rsidRPr="00125C6E">
        <w:rPr>
          <w:b/>
          <w:bCs/>
          <w:i w:val="0"/>
          <w:iCs w:val="0"/>
          <w:color w:val="auto"/>
          <w:sz w:val="20"/>
          <w:szCs w:val="20"/>
        </w:rPr>
        <w:t>million</w:t>
      </w:r>
      <w:proofErr w:type="spellEnd"/>
      <w:r w:rsidRPr="00125C6E">
        <w:rPr>
          <w:b/>
          <w:bCs/>
          <w:i w:val="0"/>
          <w:iCs w:val="0"/>
          <w:color w:val="auto"/>
          <w:sz w:val="20"/>
          <w:szCs w:val="20"/>
        </w:rPr>
        <w:t xml:space="preserve"> </w:t>
      </w:r>
      <w:proofErr w:type="spellStart"/>
      <w:r w:rsidRPr="00125C6E">
        <w:rPr>
          <w:b/>
          <w:bCs/>
          <w:i w:val="0"/>
          <w:iCs w:val="0"/>
          <w:color w:val="auto"/>
          <w:sz w:val="20"/>
          <w:szCs w:val="20"/>
        </w:rPr>
        <w:t>population</w:t>
      </w:r>
      <w:bookmarkEnd w:id="43"/>
      <w:proofErr w:type="spellEnd"/>
    </w:p>
    <w:tbl>
      <w:tblPr>
        <w:tblW w:w="9984" w:type="dxa"/>
        <w:tblCellMar>
          <w:left w:w="70" w:type="dxa"/>
          <w:right w:w="70" w:type="dxa"/>
        </w:tblCellMa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gridCol w:w="624"/>
      </w:tblGrid>
      <w:tr w:rsidR="00125C6E" w:rsidRPr="00125C6E" w14:paraId="775A529B" w14:textId="77777777" w:rsidTr="00125C6E">
        <w:trPr>
          <w:trHeight w:val="29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DBBAA" w14:textId="77777777" w:rsidR="001C31BE" w:rsidRPr="001C31BE" w:rsidRDefault="001C31BE" w:rsidP="001C31BE">
            <w:pPr>
              <w:spacing w:after="0" w:line="240" w:lineRule="auto"/>
              <w:rPr>
                <w:rFonts w:ascii="Calibri" w:eastAsia="Times New Roman" w:hAnsi="Calibri" w:cs="Calibri"/>
                <w:b/>
                <w:bCs/>
                <w:color w:val="000000"/>
                <w:sz w:val="18"/>
                <w:szCs w:val="18"/>
                <w:lang w:eastAsia="sk-SK"/>
              </w:rPr>
            </w:pPr>
            <w:r w:rsidRPr="001C31BE">
              <w:rPr>
                <w:rFonts w:ascii="Calibri" w:eastAsia="Times New Roman" w:hAnsi="Calibri" w:cs="Calibri"/>
                <w:b/>
                <w:bCs/>
                <w:color w:val="000000"/>
                <w:sz w:val="18"/>
                <w:szCs w:val="18"/>
                <w:lang w:eastAsia="sk-SK"/>
              </w:rPr>
              <w:t> </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2D156298"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2010</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2874222F"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2011</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0A502B10"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2012</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4090AAF4"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2013</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08FB1794"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2014</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23C44070"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2015</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3AE8E0F4"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2016</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130AC96F"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2017</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1FDE642B"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2018</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31B58BFB"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2019</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1CC7E52B"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2020</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3BAF52F3"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2021</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500E142F"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2022</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47293C18"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2023</w:t>
            </w:r>
          </w:p>
        </w:tc>
        <w:tc>
          <w:tcPr>
            <w:tcW w:w="624" w:type="dxa"/>
            <w:tcBorders>
              <w:top w:val="single" w:sz="4" w:space="0" w:color="auto"/>
              <w:left w:val="nil"/>
              <w:bottom w:val="single" w:sz="4" w:space="0" w:color="auto"/>
              <w:right w:val="single" w:sz="4" w:space="0" w:color="auto"/>
            </w:tcBorders>
            <w:shd w:val="clear" w:color="000000" w:fill="104861"/>
            <w:noWrap/>
            <w:vAlign w:val="bottom"/>
            <w:hideMark/>
          </w:tcPr>
          <w:p w14:paraId="13F34993" w14:textId="77777777" w:rsidR="001C31BE" w:rsidRPr="001C31BE" w:rsidRDefault="001C31BE" w:rsidP="001C31BE">
            <w:pPr>
              <w:spacing w:after="0" w:line="240" w:lineRule="auto"/>
              <w:jc w:val="right"/>
              <w:rPr>
                <w:rFonts w:ascii="Aptos Narrow" w:eastAsia="Times New Roman" w:hAnsi="Aptos Narrow" w:cs="Times New Roman"/>
                <w:color w:val="FFFFFF"/>
                <w:sz w:val="18"/>
                <w:szCs w:val="18"/>
                <w:lang w:eastAsia="sk-SK"/>
              </w:rPr>
            </w:pPr>
            <w:r w:rsidRPr="001C31BE">
              <w:rPr>
                <w:rFonts w:ascii="Aptos Narrow" w:eastAsia="Times New Roman" w:hAnsi="Aptos Narrow" w:cs="Times New Roman"/>
                <w:color w:val="FFFFFF"/>
                <w:sz w:val="18"/>
                <w:szCs w:val="18"/>
                <w:lang w:eastAsia="sk-SK"/>
              </w:rPr>
              <w:t>2024</w:t>
            </w:r>
          </w:p>
        </w:tc>
      </w:tr>
      <w:tr w:rsidR="001C31BE" w:rsidRPr="001C31BE" w14:paraId="53232ECB"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F200C14"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AT</w:t>
            </w:r>
          </w:p>
        </w:tc>
        <w:tc>
          <w:tcPr>
            <w:tcW w:w="624" w:type="dxa"/>
            <w:tcBorders>
              <w:top w:val="nil"/>
              <w:left w:val="nil"/>
              <w:bottom w:val="single" w:sz="4" w:space="0" w:color="auto"/>
              <w:right w:val="single" w:sz="4" w:space="0" w:color="auto"/>
            </w:tcBorders>
            <w:shd w:val="clear" w:color="auto" w:fill="auto"/>
            <w:noWrap/>
            <w:vAlign w:val="bottom"/>
            <w:hideMark/>
          </w:tcPr>
          <w:p w14:paraId="6B7C3A3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2 287</w:t>
            </w:r>
          </w:p>
        </w:tc>
        <w:tc>
          <w:tcPr>
            <w:tcW w:w="624" w:type="dxa"/>
            <w:tcBorders>
              <w:top w:val="nil"/>
              <w:left w:val="nil"/>
              <w:bottom w:val="single" w:sz="4" w:space="0" w:color="auto"/>
              <w:right w:val="single" w:sz="4" w:space="0" w:color="auto"/>
            </w:tcBorders>
            <w:shd w:val="clear" w:color="auto" w:fill="auto"/>
            <w:noWrap/>
            <w:vAlign w:val="bottom"/>
            <w:hideMark/>
          </w:tcPr>
          <w:p w14:paraId="17D195B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2 393</w:t>
            </w:r>
          </w:p>
        </w:tc>
        <w:tc>
          <w:tcPr>
            <w:tcW w:w="624" w:type="dxa"/>
            <w:tcBorders>
              <w:top w:val="nil"/>
              <w:left w:val="nil"/>
              <w:bottom w:val="single" w:sz="4" w:space="0" w:color="auto"/>
              <w:right w:val="single" w:sz="4" w:space="0" w:color="auto"/>
            </w:tcBorders>
            <w:shd w:val="clear" w:color="auto" w:fill="auto"/>
            <w:noWrap/>
            <w:vAlign w:val="bottom"/>
            <w:hideMark/>
          </w:tcPr>
          <w:p w14:paraId="5E684EC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2 497</w:t>
            </w:r>
          </w:p>
        </w:tc>
        <w:tc>
          <w:tcPr>
            <w:tcW w:w="624" w:type="dxa"/>
            <w:tcBorders>
              <w:top w:val="nil"/>
              <w:left w:val="nil"/>
              <w:bottom w:val="single" w:sz="4" w:space="0" w:color="auto"/>
              <w:right w:val="single" w:sz="4" w:space="0" w:color="auto"/>
            </w:tcBorders>
            <w:shd w:val="clear" w:color="auto" w:fill="auto"/>
            <w:noWrap/>
            <w:vAlign w:val="bottom"/>
            <w:hideMark/>
          </w:tcPr>
          <w:p w14:paraId="62A36AA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2 617</w:t>
            </w:r>
          </w:p>
        </w:tc>
        <w:tc>
          <w:tcPr>
            <w:tcW w:w="624" w:type="dxa"/>
            <w:tcBorders>
              <w:top w:val="nil"/>
              <w:left w:val="nil"/>
              <w:bottom w:val="single" w:sz="4" w:space="0" w:color="auto"/>
              <w:right w:val="single" w:sz="4" w:space="0" w:color="auto"/>
            </w:tcBorders>
            <w:shd w:val="clear" w:color="auto" w:fill="auto"/>
            <w:noWrap/>
            <w:vAlign w:val="bottom"/>
            <w:hideMark/>
          </w:tcPr>
          <w:p w14:paraId="323F8F9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2 826</w:t>
            </w:r>
          </w:p>
        </w:tc>
        <w:tc>
          <w:tcPr>
            <w:tcW w:w="624" w:type="dxa"/>
            <w:tcBorders>
              <w:top w:val="nil"/>
              <w:left w:val="nil"/>
              <w:bottom w:val="single" w:sz="4" w:space="0" w:color="auto"/>
              <w:right w:val="single" w:sz="4" w:space="0" w:color="auto"/>
            </w:tcBorders>
            <w:shd w:val="clear" w:color="auto" w:fill="auto"/>
            <w:noWrap/>
            <w:vAlign w:val="bottom"/>
            <w:hideMark/>
          </w:tcPr>
          <w:p w14:paraId="4B75590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2 945</w:t>
            </w:r>
          </w:p>
        </w:tc>
        <w:tc>
          <w:tcPr>
            <w:tcW w:w="624" w:type="dxa"/>
            <w:tcBorders>
              <w:top w:val="nil"/>
              <w:left w:val="nil"/>
              <w:bottom w:val="single" w:sz="4" w:space="0" w:color="auto"/>
              <w:right w:val="single" w:sz="4" w:space="0" w:color="auto"/>
            </w:tcBorders>
            <w:shd w:val="clear" w:color="auto" w:fill="auto"/>
            <w:noWrap/>
            <w:vAlign w:val="bottom"/>
            <w:hideMark/>
          </w:tcPr>
          <w:p w14:paraId="6FE5E11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3 151</w:t>
            </w:r>
          </w:p>
        </w:tc>
        <w:tc>
          <w:tcPr>
            <w:tcW w:w="624" w:type="dxa"/>
            <w:tcBorders>
              <w:top w:val="nil"/>
              <w:left w:val="nil"/>
              <w:bottom w:val="single" w:sz="4" w:space="0" w:color="auto"/>
              <w:right w:val="single" w:sz="4" w:space="0" w:color="auto"/>
            </w:tcBorders>
            <w:shd w:val="clear" w:color="auto" w:fill="auto"/>
            <w:noWrap/>
            <w:vAlign w:val="bottom"/>
            <w:hideMark/>
          </w:tcPr>
          <w:p w14:paraId="60FA523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3 197</w:t>
            </w:r>
          </w:p>
        </w:tc>
        <w:tc>
          <w:tcPr>
            <w:tcW w:w="624" w:type="dxa"/>
            <w:tcBorders>
              <w:top w:val="nil"/>
              <w:left w:val="nil"/>
              <w:bottom w:val="single" w:sz="4" w:space="0" w:color="auto"/>
              <w:right w:val="single" w:sz="4" w:space="0" w:color="auto"/>
            </w:tcBorders>
            <w:shd w:val="clear" w:color="auto" w:fill="auto"/>
            <w:noWrap/>
            <w:vAlign w:val="bottom"/>
            <w:hideMark/>
          </w:tcPr>
          <w:p w14:paraId="7E307D1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3 319</w:t>
            </w:r>
          </w:p>
        </w:tc>
        <w:tc>
          <w:tcPr>
            <w:tcW w:w="624" w:type="dxa"/>
            <w:tcBorders>
              <w:top w:val="nil"/>
              <w:left w:val="nil"/>
              <w:bottom w:val="single" w:sz="4" w:space="0" w:color="auto"/>
              <w:right w:val="single" w:sz="4" w:space="0" w:color="auto"/>
            </w:tcBorders>
            <w:shd w:val="clear" w:color="auto" w:fill="auto"/>
            <w:noWrap/>
            <w:vAlign w:val="bottom"/>
            <w:hideMark/>
          </w:tcPr>
          <w:p w14:paraId="253CB4C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3 534</w:t>
            </w:r>
          </w:p>
        </w:tc>
        <w:tc>
          <w:tcPr>
            <w:tcW w:w="624" w:type="dxa"/>
            <w:tcBorders>
              <w:top w:val="nil"/>
              <w:left w:val="nil"/>
              <w:bottom w:val="single" w:sz="4" w:space="0" w:color="auto"/>
              <w:right w:val="single" w:sz="4" w:space="0" w:color="auto"/>
            </w:tcBorders>
            <w:shd w:val="clear" w:color="auto" w:fill="auto"/>
            <w:noWrap/>
            <w:vAlign w:val="bottom"/>
            <w:hideMark/>
          </w:tcPr>
          <w:p w14:paraId="24EFF7D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3 662</w:t>
            </w:r>
          </w:p>
        </w:tc>
        <w:tc>
          <w:tcPr>
            <w:tcW w:w="624" w:type="dxa"/>
            <w:tcBorders>
              <w:top w:val="nil"/>
              <w:left w:val="nil"/>
              <w:bottom w:val="single" w:sz="4" w:space="0" w:color="auto"/>
              <w:right w:val="single" w:sz="4" w:space="0" w:color="auto"/>
            </w:tcBorders>
            <w:shd w:val="clear" w:color="auto" w:fill="auto"/>
            <w:noWrap/>
            <w:vAlign w:val="bottom"/>
            <w:hideMark/>
          </w:tcPr>
          <w:p w14:paraId="250463E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3 896</w:t>
            </w:r>
          </w:p>
        </w:tc>
        <w:tc>
          <w:tcPr>
            <w:tcW w:w="624" w:type="dxa"/>
            <w:tcBorders>
              <w:top w:val="nil"/>
              <w:left w:val="nil"/>
              <w:bottom w:val="single" w:sz="4" w:space="0" w:color="auto"/>
              <w:right w:val="single" w:sz="4" w:space="0" w:color="auto"/>
            </w:tcBorders>
            <w:shd w:val="clear" w:color="auto" w:fill="auto"/>
            <w:noWrap/>
            <w:vAlign w:val="bottom"/>
            <w:hideMark/>
          </w:tcPr>
          <w:p w14:paraId="347A4CF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3 724</w:t>
            </w:r>
          </w:p>
        </w:tc>
        <w:tc>
          <w:tcPr>
            <w:tcW w:w="624" w:type="dxa"/>
            <w:tcBorders>
              <w:top w:val="nil"/>
              <w:left w:val="nil"/>
              <w:bottom w:val="single" w:sz="4" w:space="0" w:color="auto"/>
              <w:right w:val="single" w:sz="4" w:space="0" w:color="auto"/>
            </w:tcBorders>
            <w:shd w:val="clear" w:color="auto" w:fill="auto"/>
            <w:noWrap/>
            <w:vAlign w:val="bottom"/>
            <w:hideMark/>
          </w:tcPr>
          <w:p w14:paraId="52E89A9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3 568</w:t>
            </w:r>
          </w:p>
        </w:tc>
        <w:tc>
          <w:tcPr>
            <w:tcW w:w="624" w:type="dxa"/>
            <w:tcBorders>
              <w:top w:val="nil"/>
              <w:left w:val="nil"/>
              <w:bottom w:val="single" w:sz="4" w:space="0" w:color="auto"/>
              <w:right w:val="single" w:sz="4" w:space="0" w:color="auto"/>
            </w:tcBorders>
            <w:shd w:val="clear" w:color="auto" w:fill="auto"/>
            <w:noWrap/>
            <w:vAlign w:val="bottom"/>
            <w:hideMark/>
          </w:tcPr>
          <w:p w14:paraId="407E94E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3 605</w:t>
            </w:r>
          </w:p>
        </w:tc>
      </w:tr>
      <w:tr w:rsidR="001C31BE" w:rsidRPr="001C31BE" w14:paraId="46D42B13"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7C70987"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BA</w:t>
            </w:r>
          </w:p>
        </w:tc>
        <w:tc>
          <w:tcPr>
            <w:tcW w:w="624" w:type="dxa"/>
            <w:tcBorders>
              <w:top w:val="nil"/>
              <w:left w:val="nil"/>
              <w:bottom w:val="single" w:sz="4" w:space="0" w:color="auto"/>
              <w:right w:val="single" w:sz="4" w:space="0" w:color="auto"/>
            </w:tcBorders>
            <w:shd w:val="clear" w:color="auto" w:fill="auto"/>
            <w:noWrap/>
            <w:vAlign w:val="bottom"/>
            <w:hideMark/>
          </w:tcPr>
          <w:p w14:paraId="79C5231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279</w:t>
            </w:r>
          </w:p>
        </w:tc>
        <w:tc>
          <w:tcPr>
            <w:tcW w:w="624" w:type="dxa"/>
            <w:tcBorders>
              <w:top w:val="nil"/>
              <w:left w:val="nil"/>
              <w:bottom w:val="single" w:sz="4" w:space="0" w:color="auto"/>
              <w:right w:val="single" w:sz="4" w:space="0" w:color="auto"/>
            </w:tcBorders>
            <w:shd w:val="clear" w:color="auto" w:fill="auto"/>
            <w:noWrap/>
            <w:vAlign w:val="bottom"/>
            <w:hideMark/>
          </w:tcPr>
          <w:p w14:paraId="1AE0C35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290</w:t>
            </w:r>
          </w:p>
        </w:tc>
        <w:tc>
          <w:tcPr>
            <w:tcW w:w="624" w:type="dxa"/>
            <w:tcBorders>
              <w:top w:val="nil"/>
              <w:left w:val="nil"/>
              <w:bottom w:val="single" w:sz="4" w:space="0" w:color="auto"/>
              <w:right w:val="single" w:sz="4" w:space="0" w:color="auto"/>
            </w:tcBorders>
            <w:shd w:val="clear" w:color="auto" w:fill="auto"/>
            <w:noWrap/>
            <w:vAlign w:val="bottom"/>
            <w:hideMark/>
          </w:tcPr>
          <w:p w14:paraId="3BB19B5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279</w:t>
            </w:r>
          </w:p>
        </w:tc>
        <w:tc>
          <w:tcPr>
            <w:tcW w:w="624" w:type="dxa"/>
            <w:tcBorders>
              <w:top w:val="nil"/>
              <w:left w:val="nil"/>
              <w:bottom w:val="single" w:sz="4" w:space="0" w:color="auto"/>
              <w:right w:val="single" w:sz="4" w:space="0" w:color="auto"/>
            </w:tcBorders>
            <w:shd w:val="clear" w:color="auto" w:fill="auto"/>
            <w:noWrap/>
            <w:vAlign w:val="bottom"/>
            <w:hideMark/>
          </w:tcPr>
          <w:p w14:paraId="27A068A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273</w:t>
            </w:r>
          </w:p>
        </w:tc>
        <w:tc>
          <w:tcPr>
            <w:tcW w:w="624" w:type="dxa"/>
            <w:tcBorders>
              <w:top w:val="nil"/>
              <w:left w:val="nil"/>
              <w:bottom w:val="single" w:sz="4" w:space="0" w:color="auto"/>
              <w:right w:val="single" w:sz="4" w:space="0" w:color="auto"/>
            </w:tcBorders>
            <w:shd w:val="clear" w:color="auto" w:fill="auto"/>
            <w:noWrap/>
            <w:vAlign w:val="bottom"/>
            <w:hideMark/>
          </w:tcPr>
          <w:p w14:paraId="4FDC0D5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287</w:t>
            </w:r>
          </w:p>
        </w:tc>
        <w:tc>
          <w:tcPr>
            <w:tcW w:w="624" w:type="dxa"/>
            <w:tcBorders>
              <w:top w:val="nil"/>
              <w:left w:val="nil"/>
              <w:bottom w:val="single" w:sz="4" w:space="0" w:color="auto"/>
              <w:right w:val="single" w:sz="4" w:space="0" w:color="auto"/>
            </w:tcBorders>
            <w:shd w:val="clear" w:color="auto" w:fill="auto"/>
            <w:noWrap/>
            <w:vAlign w:val="bottom"/>
            <w:hideMark/>
          </w:tcPr>
          <w:p w14:paraId="47F966D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359</w:t>
            </w:r>
          </w:p>
        </w:tc>
        <w:tc>
          <w:tcPr>
            <w:tcW w:w="624" w:type="dxa"/>
            <w:tcBorders>
              <w:top w:val="nil"/>
              <w:left w:val="nil"/>
              <w:bottom w:val="single" w:sz="4" w:space="0" w:color="auto"/>
              <w:right w:val="single" w:sz="4" w:space="0" w:color="auto"/>
            </w:tcBorders>
            <w:shd w:val="clear" w:color="auto" w:fill="auto"/>
            <w:noWrap/>
            <w:vAlign w:val="bottom"/>
            <w:hideMark/>
          </w:tcPr>
          <w:p w14:paraId="45EA95C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376</w:t>
            </w:r>
          </w:p>
        </w:tc>
        <w:tc>
          <w:tcPr>
            <w:tcW w:w="624" w:type="dxa"/>
            <w:tcBorders>
              <w:top w:val="nil"/>
              <w:left w:val="nil"/>
              <w:bottom w:val="single" w:sz="4" w:space="0" w:color="auto"/>
              <w:right w:val="single" w:sz="4" w:space="0" w:color="auto"/>
            </w:tcBorders>
            <w:shd w:val="clear" w:color="auto" w:fill="auto"/>
            <w:noWrap/>
            <w:vAlign w:val="bottom"/>
            <w:hideMark/>
          </w:tcPr>
          <w:p w14:paraId="5380C71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457</w:t>
            </w:r>
          </w:p>
        </w:tc>
        <w:tc>
          <w:tcPr>
            <w:tcW w:w="624" w:type="dxa"/>
            <w:tcBorders>
              <w:top w:val="nil"/>
              <w:left w:val="nil"/>
              <w:bottom w:val="single" w:sz="4" w:space="0" w:color="auto"/>
              <w:right w:val="single" w:sz="4" w:space="0" w:color="auto"/>
            </w:tcBorders>
            <w:shd w:val="clear" w:color="auto" w:fill="auto"/>
            <w:noWrap/>
            <w:vAlign w:val="bottom"/>
            <w:hideMark/>
          </w:tcPr>
          <w:p w14:paraId="0E618D8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472</w:t>
            </w:r>
          </w:p>
        </w:tc>
        <w:tc>
          <w:tcPr>
            <w:tcW w:w="624" w:type="dxa"/>
            <w:tcBorders>
              <w:top w:val="nil"/>
              <w:left w:val="nil"/>
              <w:bottom w:val="single" w:sz="4" w:space="0" w:color="auto"/>
              <w:right w:val="single" w:sz="4" w:space="0" w:color="auto"/>
            </w:tcBorders>
            <w:shd w:val="clear" w:color="auto" w:fill="auto"/>
            <w:noWrap/>
            <w:vAlign w:val="bottom"/>
            <w:hideMark/>
          </w:tcPr>
          <w:p w14:paraId="4F7E356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511</w:t>
            </w:r>
          </w:p>
        </w:tc>
        <w:tc>
          <w:tcPr>
            <w:tcW w:w="624" w:type="dxa"/>
            <w:tcBorders>
              <w:top w:val="nil"/>
              <w:left w:val="nil"/>
              <w:bottom w:val="single" w:sz="4" w:space="0" w:color="auto"/>
              <w:right w:val="single" w:sz="4" w:space="0" w:color="auto"/>
            </w:tcBorders>
            <w:shd w:val="clear" w:color="auto" w:fill="auto"/>
            <w:noWrap/>
            <w:vAlign w:val="bottom"/>
            <w:hideMark/>
          </w:tcPr>
          <w:p w14:paraId="37D46CD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532</w:t>
            </w:r>
          </w:p>
        </w:tc>
        <w:tc>
          <w:tcPr>
            <w:tcW w:w="624" w:type="dxa"/>
            <w:tcBorders>
              <w:top w:val="nil"/>
              <w:left w:val="nil"/>
              <w:bottom w:val="single" w:sz="4" w:space="0" w:color="auto"/>
              <w:right w:val="single" w:sz="4" w:space="0" w:color="auto"/>
            </w:tcBorders>
            <w:shd w:val="clear" w:color="auto" w:fill="auto"/>
            <w:noWrap/>
            <w:vAlign w:val="bottom"/>
            <w:hideMark/>
          </w:tcPr>
          <w:p w14:paraId="6B60509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512</w:t>
            </w:r>
          </w:p>
        </w:tc>
        <w:tc>
          <w:tcPr>
            <w:tcW w:w="624" w:type="dxa"/>
            <w:tcBorders>
              <w:top w:val="nil"/>
              <w:left w:val="nil"/>
              <w:bottom w:val="single" w:sz="4" w:space="0" w:color="auto"/>
              <w:right w:val="single" w:sz="4" w:space="0" w:color="auto"/>
            </w:tcBorders>
            <w:shd w:val="clear" w:color="auto" w:fill="auto"/>
            <w:noWrap/>
            <w:vAlign w:val="bottom"/>
            <w:hideMark/>
          </w:tcPr>
          <w:p w14:paraId="68FFAA0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522</w:t>
            </w:r>
          </w:p>
        </w:tc>
        <w:tc>
          <w:tcPr>
            <w:tcW w:w="624" w:type="dxa"/>
            <w:tcBorders>
              <w:top w:val="nil"/>
              <w:left w:val="nil"/>
              <w:bottom w:val="single" w:sz="4" w:space="0" w:color="auto"/>
              <w:right w:val="single" w:sz="4" w:space="0" w:color="auto"/>
            </w:tcBorders>
            <w:shd w:val="clear" w:color="auto" w:fill="auto"/>
            <w:noWrap/>
            <w:vAlign w:val="bottom"/>
            <w:hideMark/>
          </w:tcPr>
          <w:p w14:paraId="332BE42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473</w:t>
            </w:r>
          </w:p>
        </w:tc>
        <w:tc>
          <w:tcPr>
            <w:tcW w:w="624" w:type="dxa"/>
            <w:tcBorders>
              <w:top w:val="nil"/>
              <w:left w:val="nil"/>
              <w:bottom w:val="single" w:sz="4" w:space="0" w:color="auto"/>
              <w:right w:val="single" w:sz="4" w:space="0" w:color="auto"/>
            </w:tcBorders>
            <w:shd w:val="clear" w:color="auto" w:fill="auto"/>
            <w:noWrap/>
            <w:vAlign w:val="bottom"/>
            <w:hideMark/>
          </w:tcPr>
          <w:p w14:paraId="35DBA84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550</w:t>
            </w:r>
          </w:p>
        </w:tc>
      </w:tr>
      <w:tr w:rsidR="001C31BE" w:rsidRPr="001C31BE" w14:paraId="0401C738"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4854BF9"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BG</w:t>
            </w:r>
          </w:p>
        </w:tc>
        <w:tc>
          <w:tcPr>
            <w:tcW w:w="624" w:type="dxa"/>
            <w:tcBorders>
              <w:top w:val="nil"/>
              <w:left w:val="nil"/>
              <w:bottom w:val="single" w:sz="4" w:space="0" w:color="auto"/>
              <w:right w:val="single" w:sz="4" w:space="0" w:color="auto"/>
            </w:tcBorders>
            <w:shd w:val="clear" w:color="auto" w:fill="auto"/>
            <w:noWrap/>
            <w:vAlign w:val="bottom"/>
            <w:hideMark/>
          </w:tcPr>
          <w:p w14:paraId="18C061A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548</w:t>
            </w:r>
          </w:p>
        </w:tc>
        <w:tc>
          <w:tcPr>
            <w:tcW w:w="624" w:type="dxa"/>
            <w:tcBorders>
              <w:top w:val="nil"/>
              <w:left w:val="nil"/>
              <w:bottom w:val="single" w:sz="4" w:space="0" w:color="auto"/>
              <w:right w:val="single" w:sz="4" w:space="0" w:color="auto"/>
            </w:tcBorders>
            <w:shd w:val="clear" w:color="auto" w:fill="auto"/>
            <w:noWrap/>
            <w:vAlign w:val="bottom"/>
            <w:hideMark/>
          </w:tcPr>
          <w:p w14:paraId="276F277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529</w:t>
            </w:r>
          </w:p>
        </w:tc>
        <w:tc>
          <w:tcPr>
            <w:tcW w:w="624" w:type="dxa"/>
            <w:tcBorders>
              <w:top w:val="nil"/>
              <w:left w:val="nil"/>
              <w:bottom w:val="single" w:sz="4" w:space="0" w:color="auto"/>
              <w:right w:val="single" w:sz="4" w:space="0" w:color="auto"/>
            </w:tcBorders>
            <w:shd w:val="clear" w:color="auto" w:fill="auto"/>
            <w:noWrap/>
            <w:vAlign w:val="bottom"/>
            <w:hideMark/>
          </w:tcPr>
          <w:p w14:paraId="6E4A24B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621</w:t>
            </w:r>
          </w:p>
        </w:tc>
        <w:tc>
          <w:tcPr>
            <w:tcW w:w="624" w:type="dxa"/>
            <w:tcBorders>
              <w:top w:val="nil"/>
              <w:left w:val="nil"/>
              <w:bottom w:val="single" w:sz="4" w:space="0" w:color="auto"/>
              <w:right w:val="single" w:sz="4" w:space="0" w:color="auto"/>
            </w:tcBorders>
            <w:shd w:val="clear" w:color="auto" w:fill="auto"/>
            <w:noWrap/>
            <w:vAlign w:val="bottom"/>
            <w:hideMark/>
          </w:tcPr>
          <w:p w14:paraId="2D6EB56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643</w:t>
            </w:r>
          </w:p>
        </w:tc>
        <w:tc>
          <w:tcPr>
            <w:tcW w:w="624" w:type="dxa"/>
            <w:tcBorders>
              <w:top w:val="nil"/>
              <w:left w:val="nil"/>
              <w:bottom w:val="single" w:sz="4" w:space="0" w:color="auto"/>
              <w:right w:val="single" w:sz="4" w:space="0" w:color="auto"/>
            </w:tcBorders>
            <w:shd w:val="clear" w:color="auto" w:fill="auto"/>
            <w:noWrap/>
            <w:vAlign w:val="bottom"/>
            <w:hideMark/>
          </w:tcPr>
          <w:p w14:paraId="0B320A4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662</w:t>
            </w:r>
          </w:p>
        </w:tc>
        <w:tc>
          <w:tcPr>
            <w:tcW w:w="624" w:type="dxa"/>
            <w:tcBorders>
              <w:top w:val="nil"/>
              <w:left w:val="nil"/>
              <w:bottom w:val="single" w:sz="4" w:space="0" w:color="auto"/>
              <w:right w:val="single" w:sz="4" w:space="0" w:color="auto"/>
            </w:tcBorders>
            <w:shd w:val="clear" w:color="auto" w:fill="auto"/>
            <w:noWrap/>
            <w:vAlign w:val="bottom"/>
            <w:hideMark/>
          </w:tcPr>
          <w:p w14:paraId="19C057A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662</w:t>
            </w:r>
          </w:p>
        </w:tc>
        <w:tc>
          <w:tcPr>
            <w:tcW w:w="624" w:type="dxa"/>
            <w:tcBorders>
              <w:top w:val="nil"/>
              <w:left w:val="nil"/>
              <w:bottom w:val="single" w:sz="4" w:space="0" w:color="auto"/>
              <w:right w:val="single" w:sz="4" w:space="0" w:color="auto"/>
            </w:tcBorders>
            <w:shd w:val="clear" w:color="auto" w:fill="auto"/>
            <w:noWrap/>
            <w:vAlign w:val="bottom"/>
            <w:hideMark/>
          </w:tcPr>
          <w:p w14:paraId="02EF54B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758</w:t>
            </w:r>
          </w:p>
        </w:tc>
        <w:tc>
          <w:tcPr>
            <w:tcW w:w="624" w:type="dxa"/>
            <w:tcBorders>
              <w:top w:val="nil"/>
              <w:left w:val="nil"/>
              <w:bottom w:val="single" w:sz="4" w:space="0" w:color="auto"/>
              <w:right w:val="single" w:sz="4" w:space="0" w:color="auto"/>
            </w:tcBorders>
            <w:shd w:val="clear" w:color="auto" w:fill="auto"/>
            <w:noWrap/>
            <w:vAlign w:val="bottom"/>
            <w:hideMark/>
          </w:tcPr>
          <w:p w14:paraId="3290FEE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834</w:t>
            </w:r>
          </w:p>
        </w:tc>
        <w:tc>
          <w:tcPr>
            <w:tcW w:w="624" w:type="dxa"/>
            <w:tcBorders>
              <w:top w:val="nil"/>
              <w:left w:val="nil"/>
              <w:bottom w:val="single" w:sz="4" w:space="0" w:color="auto"/>
              <w:right w:val="single" w:sz="4" w:space="0" w:color="auto"/>
            </w:tcBorders>
            <w:shd w:val="clear" w:color="auto" w:fill="auto"/>
            <w:noWrap/>
            <w:vAlign w:val="bottom"/>
            <w:hideMark/>
          </w:tcPr>
          <w:p w14:paraId="7F8F3C9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872</w:t>
            </w:r>
          </w:p>
        </w:tc>
        <w:tc>
          <w:tcPr>
            <w:tcW w:w="624" w:type="dxa"/>
            <w:tcBorders>
              <w:top w:val="nil"/>
              <w:left w:val="nil"/>
              <w:bottom w:val="single" w:sz="4" w:space="0" w:color="auto"/>
              <w:right w:val="single" w:sz="4" w:space="0" w:color="auto"/>
            </w:tcBorders>
            <w:shd w:val="clear" w:color="auto" w:fill="auto"/>
            <w:noWrap/>
            <w:vAlign w:val="bottom"/>
            <w:hideMark/>
          </w:tcPr>
          <w:p w14:paraId="3514031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993</w:t>
            </w:r>
          </w:p>
        </w:tc>
        <w:tc>
          <w:tcPr>
            <w:tcW w:w="624" w:type="dxa"/>
            <w:tcBorders>
              <w:top w:val="nil"/>
              <w:left w:val="nil"/>
              <w:bottom w:val="single" w:sz="4" w:space="0" w:color="auto"/>
              <w:right w:val="single" w:sz="4" w:space="0" w:color="auto"/>
            </w:tcBorders>
            <w:shd w:val="clear" w:color="auto" w:fill="auto"/>
            <w:noWrap/>
            <w:vAlign w:val="bottom"/>
            <w:hideMark/>
          </w:tcPr>
          <w:p w14:paraId="5BC8211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925</w:t>
            </w:r>
          </w:p>
        </w:tc>
        <w:tc>
          <w:tcPr>
            <w:tcW w:w="624" w:type="dxa"/>
            <w:tcBorders>
              <w:top w:val="nil"/>
              <w:left w:val="nil"/>
              <w:bottom w:val="single" w:sz="4" w:space="0" w:color="auto"/>
              <w:right w:val="single" w:sz="4" w:space="0" w:color="auto"/>
            </w:tcBorders>
            <w:shd w:val="clear" w:color="auto" w:fill="auto"/>
            <w:noWrap/>
            <w:vAlign w:val="bottom"/>
            <w:hideMark/>
          </w:tcPr>
          <w:p w14:paraId="27A93F2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936</w:t>
            </w:r>
          </w:p>
        </w:tc>
        <w:tc>
          <w:tcPr>
            <w:tcW w:w="624" w:type="dxa"/>
            <w:tcBorders>
              <w:top w:val="nil"/>
              <w:left w:val="nil"/>
              <w:bottom w:val="single" w:sz="4" w:space="0" w:color="auto"/>
              <w:right w:val="single" w:sz="4" w:space="0" w:color="auto"/>
            </w:tcBorders>
            <w:shd w:val="clear" w:color="auto" w:fill="auto"/>
            <w:noWrap/>
            <w:vAlign w:val="bottom"/>
            <w:hideMark/>
          </w:tcPr>
          <w:p w14:paraId="22E7801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888</w:t>
            </w:r>
          </w:p>
        </w:tc>
        <w:tc>
          <w:tcPr>
            <w:tcW w:w="624" w:type="dxa"/>
            <w:tcBorders>
              <w:top w:val="nil"/>
              <w:left w:val="nil"/>
              <w:bottom w:val="single" w:sz="4" w:space="0" w:color="auto"/>
              <w:right w:val="single" w:sz="4" w:space="0" w:color="auto"/>
            </w:tcBorders>
            <w:shd w:val="clear" w:color="auto" w:fill="auto"/>
            <w:noWrap/>
            <w:vAlign w:val="bottom"/>
            <w:hideMark/>
          </w:tcPr>
          <w:p w14:paraId="26291D6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938</w:t>
            </w:r>
          </w:p>
        </w:tc>
        <w:tc>
          <w:tcPr>
            <w:tcW w:w="624" w:type="dxa"/>
            <w:tcBorders>
              <w:top w:val="nil"/>
              <w:left w:val="nil"/>
              <w:bottom w:val="single" w:sz="4" w:space="0" w:color="auto"/>
              <w:right w:val="single" w:sz="4" w:space="0" w:color="auto"/>
            </w:tcBorders>
            <w:shd w:val="clear" w:color="auto" w:fill="auto"/>
            <w:noWrap/>
            <w:vAlign w:val="bottom"/>
            <w:hideMark/>
          </w:tcPr>
          <w:p w14:paraId="1259398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1 020</w:t>
            </w:r>
          </w:p>
        </w:tc>
      </w:tr>
      <w:tr w:rsidR="001C31BE" w:rsidRPr="001C31BE" w14:paraId="6A90D09C"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3445F86"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HR</w:t>
            </w:r>
          </w:p>
        </w:tc>
        <w:tc>
          <w:tcPr>
            <w:tcW w:w="624" w:type="dxa"/>
            <w:tcBorders>
              <w:top w:val="nil"/>
              <w:left w:val="nil"/>
              <w:bottom w:val="single" w:sz="4" w:space="0" w:color="auto"/>
              <w:right w:val="single" w:sz="4" w:space="0" w:color="auto"/>
            </w:tcBorders>
            <w:shd w:val="clear" w:color="auto" w:fill="auto"/>
            <w:noWrap/>
            <w:vAlign w:val="bottom"/>
            <w:hideMark/>
          </w:tcPr>
          <w:p w14:paraId="011169A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1 491</w:t>
            </w:r>
          </w:p>
        </w:tc>
        <w:tc>
          <w:tcPr>
            <w:tcW w:w="624" w:type="dxa"/>
            <w:tcBorders>
              <w:top w:val="nil"/>
              <w:left w:val="nil"/>
              <w:bottom w:val="single" w:sz="4" w:space="0" w:color="auto"/>
              <w:right w:val="single" w:sz="4" w:space="0" w:color="auto"/>
            </w:tcBorders>
            <w:shd w:val="clear" w:color="auto" w:fill="auto"/>
            <w:noWrap/>
            <w:vAlign w:val="bottom"/>
            <w:hideMark/>
          </w:tcPr>
          <w:p w14:paraId="140EFA9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1 617</w:t>
            </w:r>
          </w:p>
        </w:tc>
        <w:tc>
          <w:tcPr>
            <w:tcW w:w="624" w:type="dxa"/>
            <w:tcBorders>
              <w:top w:val="nil"/>
              <w:left w:val="nil"/>
              <w:bottom w:val="single" w:sz="4" w:space="0" w:color="auto"/>
              <w:right w:val="single" w:sz="4" w:space="0" w:color="auto"/>
            </w:tcBorders>
            <w:shd w:val="clear" w:color="auto" w:fill="auto"/>
            <w:noWrap/>
            <w:vAlign w:val="bottom"/>
            <w:hideMark/>
          </w:tcPr>
          <w:p w14:paraId="1DAF70C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1 632</w:t>
            </w:r>
          </w:p>
        </w:tc>
        <w:tc>
          <w:tcPr>
            <w:tcW w:w="624" w:type="dxa"/>
            <w:tcBorders>
              <w:top w:val="nil"/>
              <w:left w:val="nil"/>
              <w:bottom w:val="single" w:sz="4" w:space="0" w:color="auto"/>
              <w:right w:val="single" w:sz="4" w:space="0" w:color="auto"/>
            </w:tcBorders>
            <w:shd w:val="clear" w:color="auto" w:fill="auto"/>
            <w:noWrap/>
            <w:vAlign w:val="bottom"/>
            <w:hideMark/>
          </w:tcPr>
          <w:p w14:paraId="6E86816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1 624</w:t>
            </w:r>
          </w:p>
        </w:tc>
        <w:tc>
          <w:tcPr>
            <w:tcW w:w="624" w:type="dxa"/>
            <w:tcBorders>
              <w:top w:val="nil"/>
              <w:left w:val="nil"/>
              <w:bottom w:val="single" w:sz="4" w:space="0" w:color="auto"/>
              <w:right w:val="single" w:sz="4" w:space="0" w:color="auto"/>
            </w:tcBorders>
            <w:shd w:val="clear" w:color="auto" w:fill="auto"/>
            <w:noWrap/>
            <w:vAlign w:val="bottom"/>
            <w:hideMark/>
          </w:tcPr>
          <w:p w14:paraId="391F65A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1 711</w:t>
            </w:r>
          </w:p>
        </w:tc>
        <w:tc>
          <w:tcPr>
            <w:tcW w:w="624" w:type="dxa"/>
            <w:tcBorders>
              <w:top w:val="nil"/>
              <w:left w:val="nil"/>
              <w:bottom w:val="single" w:sz="4" w:space="0" w:color="auto"/>
              <w:right w:val="single" w:sz="4" w:space="0" w:color="auto"/>
            </w:tcBorders>
            <w:shd w:val="clear" w:color="auto" w:fill="auto"/>
            <w:noWrap/>
            <w:vAlign w:val="bottom"/>
            <w:hideMark/>
          </w:tcPr>
          <w:p w14:paraId="048CC63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1 779</w:t>
            </w:r>
          </w:p>
        </w:tc>
        <w:tc>
          <w:tcPr>
            <w:tcW w:w="624" w:type="dxa"/>
            <w:tcBorders>
              <w:top w:val="nil"/>
              <w:left w:val="nil"/>
              <w:bottom w:val="single" w:sz="4" w:space="0" w:color="auto"/>
              <w:right w:val="single" w:sz="4" w:space="0" w:color="auto"/>
            </w:tcBorders>
            <w:shd w:val="clear" w:color="auto" w:fill="auto"/>
            <w:noWrap/>
            <w:vAlign w:val="bottom"/>
            <w:hideMark/>
          </w:tcPr>
          <w:p w14:paraId="279CE51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1 859</w:t>
            </w:r>
          </w:p>
        </w:tc>
        <w:tc>
          <w:tcPr>
            <w:tcW w:w="624" w:type="dxa"/>
            <w:tcBorders>
              <w:top w:val="nil"/>
              <w:left w:val="nil"/>
              <w:bottom w:val="single" w:sz="4" w:space="0" w:color="auto"/>
              <w:right w:val="single" w:sz="4" w:space="0" w:color="auto"/>
            </w:tcBorders>
            <w:shd w:val="clear" w:color="auto" w:fill="auto"/>
            <w:noWrap/>
            <w:vAlign w:val="bottom"/>
            <w:hideMark/>
          </w:tcPr>
          <w:p w14:paraId="490CF37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2 008</w:t>
            </w:r>
          </w:p>
        </w:tc>
        <w:tc>
          <w:tcPr>
            <w:tcW w:w="624" w:type="dxa"/>
            <w:tcBorders>
              <w:top w:val="nil"/>
              <w:left w:val="nil"/>
              <w:bottom w:val="single" w:sz="4" w:space="0" w:color="auto"/>
              <w:right w:val="single" w:sz="4" w:space="0" w:color="auto"/>
            </w:tcBorders>
            <w:shd w:val="clear" w:color="auto" w:fill="auto"/>
            <w:noWrap/>
            <w:vAlign w:val="bottom"/>
            <w:hideMark/>
          </w:tcPr>
          <w:p w14:paraId="10E5668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2 123</w:t>
            </w:r>
          </w:p>
        </w:tc>
        <w:tc>
          <w:tcPr>
            <w:tcW w:w="624" w:type="dxa"/>
            <w:tcBorders>
              <w:top w:val="nil"/>
              <w:left w:val="nil"/>
              <w:bottom w:val="single" w:sz="4" w:space="0" w:color="auto"/>
              <w:right w:val="single" w:sz="4" w:space="0" w:color="auto"/>
            </w:tcBorders>
            <w:shd w:val="clear" w:color="auto" w:fill="auto"/>
            <w:noWrap/>
            <w:vAlign w:val="bottom"/>
            <w:hideMark/>
          </w:tcPr>
          <w:p w14:paraId="4B9B801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2 267</w:t>
            </w:r>
          </w:p>
        </w:tc>
        <w:tc>
          <w:tcPr>
            <w:tcW w:w="624" w:type="dxa"/>
            <w:tcBorders>
              <w:top w:val="nil"/>
              <w:left w:val="nil"/>
              <w:bottom w:val="single" w:sz="4" w:space="0" w:color="auto"/>
              <w:right w:val="single" w:sz="4" w:space="0" w:color="auto"/>
            </w:tcBorders>
            <w:shd w:val="clear" w:color="auto" w:fill="auto"/>
            <w:noWrap/>
            <w:vAlign w:val="bottom"/>
            <w:hideMark/>
          </w:tcPr>
          <w:p w14:paraId="278DE8E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2 304</w:t>
            </w:r>
          </w:p>
        </w:tc>
        <w:tc>
          <w:tcPr>
            <w:tcW w:w="624" w:type="dxa"/>
            <w:tcBorders>
              <w:top w:val="nil"/>
              <w:left w:val="nil"/>
              <w:bottom w:val="single" w:sz="4" w:space="0" w:color="auto"/>
              <w:right w:val="single" w:sz="4" w:space="0" w:color="auto"/>
            </w:tcBorders>
            <w:shd w:val="clear" w:color="auto" w:fill="auto"/>
            <w:noWrap/>
            <w:vAlign w:val="bottom"/>
            <w:hideMark/>
          </w:tcPr>
          <w:p w14:paraId="0A2C5A4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2 486</w:t>
            </w:r>
          </w:p>
        </w:tc>
        <w:tc>
          <w:tcPr>
            <w:tcW w:w="624" w:type="dxa"/>
            <w:tcBorders>
              <w:top w:val="nil"/>
              <w:left w:val="nil"/>
              <w:bottom w:val="single" w:sz="4" w:space="0" w:color="auto"/>
              <w:right w:val="single" w:sz="4" w:space="0" w:color="auto"/>
            </w:tcBorders>
            <w:shd w:val="clear" w:color="auto" w:fill="auto"/>
            <w:noWrap/>
            <w:vAlign w:val="bottom"/>
            <w:hideMark/>
          </w:tcPr>
          <w:p w14:paraId="6291364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2 406</w:t>
            </w:r>
          </w:p>
        </w:tc>
        <w:tc>
          <w:tcPr>
            <w:tcW w:w="624" w:type="dxa"/>
            <w:tcBorders>
              <w:top w:val="nil"/>
              <w:left w:val="nil"/>
              <w:bottom w:val="single" w:sz="4" w:space="0" w:color="auto"/>
              <w:right w:val="single" w:sz="4" w:space="0" w:color="auto"/>
            </w:tcBorders>
            <w:shd w:val="clear" w:color="auto" w:fill="auto"/>
            <w:noWrap/>
            <w:vAlign w:val="bottom"/>
            <w:hideMark/>
          </w:tcPr>
          <w:p w14:paraId="77DB463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2 316</w:t>
            </w:r>
          </w:p>
        </w:tc>
        <w:tc>
          <w:tcPr>
            <w:tcW w:w="624" w:type="dxa"/>
            <w:tcBorders>
              <w:top w:val="nil"/>
              <w:left w:val="nil"/>
              <w:bottom w:val="single" w:sz="4" w:space="0" w:color="auto"/>
              <w:right w:val="single" w:sz="4" w:space="0" w:color="auto"/>
            </w:tcBorders>
            <w:shd w:val="clear" w:color="auto" w:fill="auto"/>
            <w:noWrap/>
            <w:vAlign w:val="bottom"/>
            <w:hideMark/>
          </w:tcPr>
          <w:p w14:paraId="322257D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2 207</w:t>
            </w:r>
          </w:p>
        </w:tc>
      </w:tr>
      <w:tr w:rsidR="001C31BE" w:rsidRPr="001C31BE" w14:paraId="457670DA"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09FD407"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CZ</w:t>
            </w:r>
          </w:p>
        </w:tc>
        <w:tc>
          <w:tcPr>
            <w:tcW w:w="624" w:type="dxa"/>
            <w:tcBorders>
              <w:top w:val="nil"/>
              <w:left w:val="nil"/>
              <w:bottom w:val="single" w:sz="4" w:space="0" w:color="auto"/>
              <w:right w:val="single" w:sz="4" w:space="0" w:color="auto"/>
            </w:tcBorders>
            <w:shd w:val="clear" w:color="auto" w:fill="auto"/>
            <w:noWrap/>
            <w:vAlign w:val="bottom"/>
            <w:hideMark/>
          </w:tcPr>
          <w:p w14:paraId="1E95E4D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1 678</w:t>
            </w:r>
          </w:p>
        </w:tc>
        <w:tc>
          <w:tcPr>
            <w:tcW w:w="624" w:type="dxa"/>
            <w:tcBorders>
              <w:top w:val="nil"/>
              <w:left w:val="nil"/>
              <w:bottom w:val="single" w:sz="4" w:space="0" w:color="auto"/>
              <w:right w:val="single" w:sz="4" w:space="0" w:color="auto"/>
            </w:tcBorders>
            <w:shd w:val="clear" w:color="auto" w:fill="auto"/>
            <w:noWrap/>
            <w:vAlign w:val="bottom"/>
            <w:hideMark/>
          </w:tcPr>
          <w:p w14:paraId="7778CCD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1 695</w:t>
            </w:r>
          </w:p>
        </w:tc>
        <w:tc>
          <w:tcPr>
            <w:tcW w:w="624" w:type="dxa"/>
            <w:tcBorders>
              <w:top w:val="nil"/>
              <w:left w:val="nil"/>
              <w:bottom w:val="single" w:sz="4" w:space="0" w:color="auto"/>
              <w:right w:val="single" w:sz="4" w:space="0" w:color="auto"/>
            </w:tcBorders>
            <w:shd w:val="clear" w:color="auto" w:fill="auto"/>
            <w:noWrap/>
            <w:vAlign w:val="bottom"/>
            <w:hideMark/>
          </w:tcPr>
          <w:p w14:paraId="705751E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1 790</w:t>
            </w:r>
          </w:p>
        </w:tc>
        <w:tc>
          <w:tcPr>
            <w:tcW w:w="624" w:type="dxa"/>
            <w:tcBorders>
              <w:top w:val="nil"/>
              <w:left w:val="nil"/>
              <w:bottom w:val="single" w:sz="4" w:space="0" w:color="auto"/>
              <w:right w:val="single" w:sz="4" w:space="0" w:color="auto"/>
            </w:tcBorders>
            <w:shd w:val="clear" w:color="auto" w:fill="auto"/>
            <w:noWrap/>
            <w:vAlign w:val="bottom"/>
            <w:hideMark/>
          </w:tcPr>
          <w:p w14:paraId="60EE309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1 888</w:t>
            </w:r>
          </w:p>
        </w:tc>
        <w:tc>
          <w:tcPr>
            <w:tcW w:w="624" w:type="dxa"/>
            <w:tcBorders>
              <w:top w:val="nil"/>
              <w:left w:val="nil"/>
              <w:bottom w:val="single" w:sz="4" w:space="0" w:color="auto"/>
              <w:right w:val="single" w:sz="4" w:space="0" w:color="auto"/>
            </w:tcBorders>
            <w:shd w:val="clear" w:color="auto" w:fill="auto"/>
            <w:noWrap/>
            <w:vAlign w:val="bottom"/>
            <w:hideMark/>
          </w:tcPr>
          <w:p w14:paraId="2CCAB55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2 179</w:t>
            </w:r>
          </w:p>
        </w:tc>
        <w:tc>
          <w:tcPr>
            <w:tcW w:w="624" w:type="dxa"/>
            <w:tcBorders>
              <w:top w:val="nil"/>
              <w:left w:val="nil"/>
              <w:bottom w:val="single" w:sz="4" w:space="0" w:color="auto"/>
              <w:right w:val="single" w:sz="4" w:space="0" w:color="auto"/>
            </w:tcBorders>
            <w:shd w:val="clear" w:color="auto" w:fill="auto"/>
            <w:noWrap/>
            <w:vAlign w:val="bottom"/>
            <w:hideMark/>
          </w:tcPr>
          <w:p w14:paraId="779BDC6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2 392</w:t>
            </w:r>
          </w:p>
        </w:tc>
        <w:tc>
          <w:tcPr>
            <w:tcW w:w="624" w:type="dxa"/>
            <w:tcBorders>
              <w:top w:val="nil"/>
              <w:left w:val="nil"/>
              <w:bottom w:val="single" w:sz="4" w:space="0" w:color="auto"/>
              <w:right w:val="single" w:sz="4" w:space="0" w:color="auto"/>
            </w:tcBorders>
            <w:shd w:val="clear" w:color="auto" w:fill="auto"/>
            <w:noWrap/>
            <w:vAlign w:val="bottom"/>
            <w:hideMark/>
          </w:tcPr>
          <w:p w14:paraId="3163BA7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2 449</w:t>
            </w:r>
          </w:p>
        </w:tc>
        <w:tc>
          <w:tcPr>
            <w:tcW w:w="624" w:type="dxa"/>
            <w:tcBorders>
              <w:top w:val="nil"/>
              <w:left w:val="nil"/>
              <w:bottom w:val="single" w:sz="4" w:space="0" w:color="auto"/>
              <w:right w:val="single" w:sz="4" w:space="0" w:color="auto"/>
            </w:tcBorders>
            <w:shd w:val="clear" w:color="auto" w:fill="auto"/>
            <w:noWrap/>
            <w:vAlign w:val="bottom"/>
            <w:hideMark/>
          </w:tcPr>
          <w:p w14:paraId="59F5D0C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2 479</w:t>
            </w:r>
          </w:p>
        </w:tc>
        <w:tc>
          <w:tcPr>
            <w:tcW w:w="624" w:type="dxa"/>
            <w:tcBorders>
              <w:top w:val="nil"/>
              <w:left w:val="nil"/>
              <w:bottom w:val="single" w:sz="4" w:space="0" w:color="auto"/>
              <w:right w:val="single" w:sz="4" w:space="0" w:color="auto"/>
            </w:tcBorders>
            <w:shd w:val="clear" w:color="auto" w:fill="auto"/>
            <w:noWrap/>
            <w:vAlign w:val="bottom"/>
            <w:hideMark/>
          </w:tcPr>
          <w:p w14:paraId="4657692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2 432</w:t>
            </w:r>
          </w:p>
        </w:tc>
        <w:tc>
          <w:tcPr>
            <w:tcW w:w="624" w:type="dxa"/>
            <w:tcBorders>
              <w:top w:val="nil"/>
              <w:left w:val="nil"/>
              <w:bottom w:val="single" w:sz="4" w:space="0" w:color="auto"/>
              <w:right w:val="single" w:sz="4" w:space="0" w:color="auto"/>
            </w:tcBorders>
            <w:shd w:val="clear" w:color="auto" w:fill="auto"/>
            <w:noWrap/>
            <w:vAlign w:val="bottom"/>
            <w:hideMark/>
          </w:tcPr>
          <w:p w14:paraId="226A484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2 568</w:t>
            </w:r>
          </w:p>
        </w:tc>
        <w:tc>
          <w:tcPr>
            <w:tcW w:w="624" w:type="dxa"/>
            <w:tcBorders>
              <w:top w:val="nil"/>
              <w:left w:val="nil"/>
              <w:bottom w:val="single" w:sz="4" w:space="0" w:color="auto"/>
              <w:right w:val="single" w:sz="4" w:space="0" w:color="auto"/>
            </w:tcBorders>
            <w:shd w:val="clear" w:color="auto" w:fill="auto"/>
            <w:noWrap/>
            <w:vAlign w:val="bottom"/>
            <w:hideMark/>
          </w:tcPr>
          <w:p w14:paraId="626475D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2 428</w:t>
            </w:r>
          </w:p>
        </w:tc>
        <w:tc>
          <w:tcPr>
            <w:tcW w:w="624" w:type="dxa"/>
            <w:tcBorders>
              <w:top w:val="nil"/>
              <w:left w:val="nil"/>
              <w:bottom w:val="single" w:sz="4" w:space="0" w:color="auto"/>
              <w:right w:val="single" w:sz="4" w:space="0" w:color="auto"/>
            </w:tcBorders>
            <w:shd w:val="clear" w:color="auto" w:fill="auto"/>
            <w:noWrap/>
            <w:vAlign w:val="bottom"/>
            <w:hideMark/>
          </w:tcPr>
          <w:p w14:paraId="430A422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2 514</w:t>
            </w:r>
          </w:p>
        </w:tc>
        <w:tc>
          <w:tcPr>
            <w:tcW w:w="624" w:type="dxa"/>
            <w:tcBorders>
              <w:top w:val="nil"/>
              <w:left w:val="nil"/>
              <w:bottom w:val="single" w:sz="4" w:space="0" w:color="auto"/>
              <w:right w:val="single" w:sz="4" w:space="0" w:color="auto"/>
            </w:tcBorders>
            <w:shd w:val="clear" w:color="auto" w:fill="auto"/>
            <w:noWrap/>
            <w:vAlign w:val="bottom"/>
            <w:hideMark/>
          </w:tcPr>
          <w:p w14:paraId="7B97B13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2 316</w:t>
            </w:r>
          </w:p>
        </w:tc>
        <w:tc>
          <w:tcPr>
            <w:tcW w:w="624" w:type="dxa"/>
            <w:tcBorders>
              <w:top w:val="nil"/>
              <w:left w:val="nil"/>
              <w:bottom w:val="single" w:sz="4" w:space="0" w:color="auto"/>
              <w:right w:val="single" w:sz="4" w:space="0" w:color="auto"/>
            </w:tcBorders>
            <w:shd w:val="clear" w:color="auto" w:fill="auto"/>
            <w:noWrap/>
            <w:vAlign w:val="bottom"/>
            <w:hideMark/>
          </w:tcPr>
          <w:p w14:paraId="0576AB4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2 225</w:t>
            </w:r>
          </w:p>
        </w:tc>
        <w:tc>
          <w:tcPr>
            <w:tcW w:w="624" w:type="dxa"/>
            <w:tcBorders>
              <w:top w:val="nil"/>
              <w:left w:val="nil"/>
              <w:bottom w:val="single" w:sz="4" w:space="0" w:color="auto"/>
              <w:right w:val="single" w:sz="4" w:space="0" w:color="auto"/>
            </w:tcBorders>
            <w:shd w:val="clear" w:color="auto" w:fill="auto"/>
            <w:noWrap/>
            <w:vAlign w:val="bottom"/>
            <w:hideMark/>
          </w:tcPr>
          <w:p w14:paraId="3494A47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2 244</w:t>
            </w:r>
          </w:p>
        </w:tc>
      </w:tr>
      <w:tr w:rsidR="001C31BE" w:rsidRPr="001C31BE" w14:paraId="09554BB3"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BD42C31"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DE</w:t>
            </w:r>
          </w:p>
        </w:tc>
        <w:tc>
          <w:tcPr>
            <w:tcW w:w="624" w:type="dxa"/>
            <w:tcBorders>
              <w:top w:val="nil"/>
              <w:left w:val="nil"/>
              <w:bottom w:val="single" w:sz="4" w:space="0" w:color="auto"/>
              <w:right w:val="single" w:sz="4" w:space="0" w:color="auto"/>
            </w:tcBorders>
            <w:shd w:val="clear" w:color="auto" w:fill="auto"/>
            <w:noWrap/>
            <w:vAlign w:val="bottom"/>
            <w:hideMark/>
          </w:tcPr>
          <w:p w14:paraId="45B03B3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1 773</w:t>
            </w:r>
          </w:p>
        </w:tc>
        <w:tc>
          <w:tcPr>
            <w:tcW w:w="624" w:type="dxa"/>
            <w:tcBorders>
              <w:top w:val="nil"/>
              <w:left w:val="nil"/>
              <w:bottom w:val="single" w:sz="4" w:space="0" w:color="auto"/>
              <w:right w:val="single" w:sz="4" w:space="0" w:color="auto"/>
            </w:tcBorders>
            <w:shd w:val="clear" w:color="auto" w:fill="auto"/>
            <w:noWrap/>
            <w:vAlign w:val="bottom"/>
            <w:hideMark/>
          </w:tcPr>
          <w:p w14:paraId="14DC06D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1 820</w:t>
            </w:r>
          </w:p>
        </w:tc>
        <w:tc>
          <w:tcPr>
            <w:tcW w:w="624" w:type="dxa"/>
            <w:tcBorders>
              <w:top w:val="nil"/>
              <w:left w:val="nil"/>
              <w:bottom w:val="single" w:sz="4" w:space="0" w:color="auto"/>
              <w:right w:val="single" w:sz="4" w:space="0" w:color="auto"/>
            </w:tcBorders>
            <w:shd w:val="clear" w:color="auto" w:fill="auto"/>
            <w:noWrap/>
            <w:vAlign w:val="bottom"/>
            <w:hideMark/>
          </w:tcPr>
          <w:p w14:paraId="57FF54D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1 879</w:t>
            </w:r>
          </w:p>
        </w:tc>
        <w:tc>
          <w:tcPr>
            <w:tcW w:w="624" w:type="dxa"/>
            <w:tcBorders>
              <w:top w:val="nil"/>
              <w:left w:val="nil"/>
              <w:bottom w:val="single" w:sz="4" w:space="0" w:color="auto"/>
              <w:right w:val="single" w:sz="4" w:space="0" w:color="auto"/>
            </w:tcBorders>
            <w:shd w:val="clear" w:color="auto" w:fill="auto"/>
            <w:noWrap/>
            <w:vAlign w:val="bottom"/>
            <w:hideMark/>
          </w:tcPr>
          <w:p w14:paraId="7966F48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1 936</w:t>
            </w:r>
          </w:p>
        </w:tc>
        <w:tc>
          <w:tcPr>
            <w:tcW w:w="624" w:type="dxa"/>
            <w:tcBorders>
              <w:top w:val="nil"/>
              <w:left w:val="nil"/>
              <w:bottom w:val="single" w:sz="4" w:space="0" w:color="auto"/>
              <w:right w:val="single" w:sz="4" w:space="0" w:color="auto"/>
            </w:tcBorders>
            <w:shd w:val="clear" w:color="auto" w:fill="auto"/>
            <w:noWrap/>
            <w:vAlign w:val="bottom"/>
            <w:hideMark/>
          </w:tcPr>
          <w:p w14:paraId="7DBED36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2 040</w:t>
            </w:r>
          </w:p>
        </w:tc>
        <w:tc>
          <w:tcPr>
            <w:tcW w:w="624" w:type="dxa"/>
            <w:tcBorders>
              <w:top w:val="nil"/>
              <w:left w:val="nil"/>
              <w:bottom w:val="single" w:sz="4" w:space="0" w:color="auto"/>
              <w:right w:val="single" w:sz="4" w:space="0" w:color="auto"/>
            </w:tcBorders>
            <w:shd w:val="clear" w:color="auto" w:fill="auto"/>
            <w:noWrap/>
            <w:vAlign w:val="bottom"/>
            <w:hideMark/>
          </w:tcPr>
          <w:p w14:paraId="1CBFF3E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2 097</w:t>
            </w:r>
          </w:p>
        </w:tc>
        <w:tc>
          <w:tcPr>
            <w:tcW w:w="624" w:type="dxa"/>
            <w:tcBorders>
              <w:top w:val="nil"/>
              <w:left w:val="nil"/>
              <w:bottom w:val="single" w:sz="4" w:space="0" w:color="auto"/>
              <w:right w:val="single" w:sz="4" w:space="0" w:color="auto"/>
            </w:tcBorders>
            <w:shd w:val="clear" w:color="auto" w:fill="auto"/>
            <w:noWrap/>
            <w:vAlign w:val="bottom"/>
            <w:hideMark/>
          </w:tcPr>
          <w:p w14:paraId="0AFC994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2 203</w:t>
            </w:r>
          </w:p>
        </w:tc>
        <w:tc>
          <w:tcPr>
            <w:tcW w:w="624" w:type="dxa"/>
            <w:tcBorders>
              <w:top w:val="nil"/>
              <w:left w:val="nil"/>
              <w:bottom w:val="single" w:sz="4" w:space="0" w:color="auto"/>
              <w:right w:val="single" w:sz="4" w:space="0" w:color="auto"/>
            </w:tcBorders>
            <w:shd w:val="clear" w:color="auto" w:fill="auto"/>
            <w:noWrap/>
            <w:vAlign w:val="bottom"/>
            <w:hideMark/>
          </w:tcPr>
          <w:p w14:paraId="1791AAD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2 235</w:t>
            </w:r>
          </w:p>
        </w:tc>
        <w:tc>
          <w:tcPr>
            <w:tcW w:w="624" w:type="dxa"/>
            <w:tcBorders>
              <w:top w:val="nil"/>
              <w:left w:val="nil"/>
              <w:bottom w:val="single" w:sz="4" w:space="0" w:color="auto"/>
              <w:right w:val="single" w:sz="4" w:space="0" w:color="auto"/>
            </w:tcBorders>
            <w:shd w:val="clear" w:color="auto" w:fill="auto"/>
            <w:noWrap/>
            <w:vAlign w:val="bottom"/>
            <w:hideMark/>
          </w:tcPr>
          <w:p w14:paraId="4A52BBD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2 275</w:t>
            </w:r>
          </w:p>
        </w:tc>
        <w:tc>
          <w:tcPr>
            <w:tcW w:w="624" w:type="dxa"/>
            <w:tcBorders>
              <w:top w:val="nil"/>
              <w:left w:val="nil"/>
              <w:bottom w:val="single" w:sz="4" w:space="0" w:color="auto"/>
              <w:right w:val="single" w:sz="4" w:space="0" w:color="auto"/>
            </w:tcBorders>
            <w:shd w:val="clear" w:color="auto" w:fill="auto"/>
            <w:noWrap/>
            <w:vAlign w:val="bottom"/>
            <w:hideMark/>
          </w:tcPr>
          <w:p w14:paraId="62FDE00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2 437</w:t>
            </w:r>
          </w:p>
        </w:tc>
        <w:tc>
          <w:tcPr>
            <w:tcW w:w="624" w:type="dxa"/>
            <w:tcBorders>
              <w:top w:val="nil"/>
              <w:left w:val="nil"/>
              <w:bottom w:val="single" w:sz="4" w:space="0" w:color="auto"/>
              <w:right w:val="single" w:sz="4" w:space="0" w:color="auto"/>
            </w:tcBorders>
            <w:shd w:val="clear" w:color="auto" w:fill="auto"/>
            <w:noWrap/>
            <w:vAlign w:val="bottom"/>
            <w:hideMark/>
          </w:tcPr>
          <w:p w14:paraId="4087749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2 406</w:t>
            </w:r>
          </w:p>
        </w:tc>
        <w:tc>
          <w:tcPr>
            <w:tcW w:w="624" w:type="dxa"/>
            <w:tcBorders>
              <w:top w:val="nil"/>
              <w:left w:val="nil"/>
              <w:bottom w:val="single" w:sz="4" w:space="0" w:color="auto"/>
              <w:right w:val="single" w:sz="4" w:space="0" w:color="auto"/>
            </w:tcBorders>
            <w:shd w:val="clear" w:color="auto" w:fill="auto"/>
            <w:noWrap/>
            <w:vAlign w:val="bottom"/>
            <w:hideMark/>
          </w:tcPr>
          <w:p w14:paraId="2790596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2 545</w:t>
            </w:r>
          </w:p>
        </w:tc>
        <w:tc>
          <w:tcPr>
            <w:tcW w:w="624" w:type="dxa"/>
            <w:tcBorders>
              <w:top w:val="nil"/>
              <w:left w:val="nil"/>
              <w:bottom w:val="single" w:sz="4" w:space="0" w:color="auto"/>
              <w:right w:val="single" w:sz="4" w:space="0" w:color="auto"/>
            </w:tcBorders>
            <w:shd w:val="clear" w:color="auto" w:fill="auto"/>
            <w:noWrap/>
            <w:vAlign w:val="bottom"/>
            <w:hideMark/>
          </w:tcPr>
          <w:p w14:paraId="67C1FBF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2 387</w:t>
            </w:r>
          </w:p>
        </w:tc>
        <w:tc>
          <w:tcPr>
            <w:tcW w:w="624" w:type="dxa"/>
            <w:tcBorders>
              <w:top w:val="nil"/>
              <w:left w:val="nil"/>
              <w:bottom w:val="single" w:sz="4" w:space="0" w:color="auto"/>
              <w:right w:val="single" w:sz="4" w:space="0" w:color="auto"/>
            </w:tcBorders>
            <w:shd w:val="clear" w:color="auto" w:fill="auto"/>
            <w:noWrap/>
            <w:vAlign w:val="bottom"/>
            <w:hideMark/>
          </w:tcPr>
          <w:p w14:paraId="17EBF3C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2 239</w:t>
            </w:r>
          </w:p>
        </w:tc>
        <w:tc>
          <w:tcPr>
            <w:tcW w:w="624" w:type="dxa"/>
            <w:tcBorders>
              <w:top w:val="nil"/>
              <w:left w:val="nil"/>
              <w:bottom w:val="single" w:sz="4" w:space="0" w:color="auto"/>
              <w:right w:val="single" w:sz="4" w:space="0" w:color="auto"/>
            </w:tcBorders>
            <w:shd w:val="clear" w:color="auto" w:fill="auto"/>
            <w:noWrap/>
            <w:vAlign w:val="bottom"/>
            <w:hideMark/>
          </w:tcPr>
          <w:p w14:paraId="51F3998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2 242</w:t>
            </w:r>
          </w:p>
        </w:tc>
      </w:tr>
      <w:tr w:rsidR="001C31BE" w:rsidRPr="001C31BE" w14:paraId="33AC0C75"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845D756"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HU</w:t>
            </w:r>
          </w:p>
        </w:tc>
        <w:tc>
          <w:tcPr>
            <w:tcW w:w="624" w:type="dxa"/>
            <w:tcBorders>
              <w:top w:val="nil"/>
              <w:left w:val="nil"/>
              <w:bottom w:val="single" w:sz="4" w:space="0" w:color="auto"/>
              <w:right w:val="single" w:sz="4" w:space="0" w:color="auto"/>
            </w:tcBorders>
            <w:shd w:val="clear" w:color="auto" w:fill="auto"/>
            <w:noWrap/>
            <w:vAlign w:val="bottom"/>
            <w:hideMark/>
          </w:tcPr>
          <w:p w14:paraId="1A62D8C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920</w:t>
            </w:r>
          </w:p>
        </w:tc>
        <w:tc>
          <w:tcPr>
            <w:tcW w:w="624" w:type="dxa"/>
            <w:tcBorders>
              <w:top w:val="nil"/>
              <w:left w:val="nil"/>
              <w:bottom w:val="single" w:sz="4" w:space="0" w:color="auto"/>
              <w:right w:val="single" w:sz="4" w:space="0" w:color="auto"/>
            </w:tcBorders>
            <w:shd w:val="clear" w:color="auto" w:fill="auto"/>
            <w:noWrap/>
            <w:vAlign w:val="bottom"/>
            <w:hideMark/>
          </w:tcPr>
          <w:p w14:paraId="5D224E2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940</w:t>
            </w:r>
          </w:p>
        </w:tc>
        <w:tc>
          <w:tcPr>
            <w:tcW w:w="624" w:type="dxa"/>
            <w:tcBorders>
              <w:top w:val="nil"/>
              <w:left w:val="nil"/>
              <w:bottom w:val="single" w:sz="4" w:space="0" w:color="auto"/>
              <w:right w:val="single" w:sz="4" w:space="0" w:color="auto"/>
            </w:tcBorders>
            <w:shd w:val="clear" w:color="auto" w:fill="auto"/>
            <w:noWrap/>
            <w:vAlign w:val="bottom"/>
            <w:hideMark/>
          </w:tcPr>
          <w:p w14:paraId="081C6F6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1 006</w:t>
            </w:r>
          </w:p>
        </w:tc>
        <w:tc>
          <w:tcPr>
            <w:tcW w:w="624" w:type="dxa"/>
            <w:tcBorders>
              <w:top w:val="nil"/>
              <w:left w:val="nil"/>
              <w:bottom w:val="single" w:sz="4" w:space="0" w:color="auto"/>
              <w:right w:val="single" w:sz="4" w:space="0" w:color="auto"/>
            </w:tcBorders>
            <w:shd w:val="clear" w:color="auto" w:fill="auto"/>
            <w:noWrap/>
            <w:vAlign w:val="bottom"/>
            <w:hideMark/>
          </w:tcPr>
          <w:p w14:paraId="45E9ADD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1 063</w:t>
            </w:r>
          </w:p>
        </w:tc>
        <w:tc>
          <w:tcPr>
            <w:tcW w:w="624" w:type="dxa"/>
            <w:tcBorders>
              <w:top w:val="nil"/>
              <w:left w:val="nil"/>
              <w:bottom w:val="single" w:sz="4" w:space="0" w:color="auto"/>
              <w:right w:val="single" w:sz="4" w:space="0" w:color="auto"/>
            </w:tcBorders>
            <w:shd w:val="clear" w:color="auto" w:fill="auto"/>
            <w:noWrap/>
            <w:vAlign w:val="bottom"/>
            <w:hideMark/>
          </w:tcPr>
          <w:p w14:paraId="30BEBD2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1 170</w:t>
            </w:r>
          </w:p>
        </w:tc>
        <w:tc>
          <w:tcPr>
            <w:tcW w:w="624" w:type="dxa"/>
            <w:tcBorders>
              <w:top w:val="nil"/>
              <w:left w:val="nil"/>
              <w:bottom w:val="single" w:sz="4" w:space="0" w:color="auto"/>
              <w:right w:val="single" w:sz="4" w:space="0" w:color="auto"/>
            </w:tcBorders>
            <w:shd w:val="clear" w:color="auto" w:fill="auto"/>
            <w:noWrap/>
            <w:vAlign w:val="bottom"/>
            <w:hideMark/>
          </w:tcPr>
          <w:p w14:paraId="206BC69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1 173</w:t>
            </w:r>
          </w:p>
        </w:tc>
        <w:tc>
          <w:tcPr>
            <w:tcW w:w="624" w:type="dxa"/>
            <w:tcBorders>
              <w:top w:val="nil"/>
              <w:left w:val="nil"/>
              <w:bottom w:val="single" w:sz="4" w:space="0" w:color="auto"/>
              <w:right w:val="single" w:sz="4" w:space="0" w:color="auto"/>
            </w:tcBorders>
            <w:shd w:val="clear" w:color="auto" w:fill="auto"/>
            <w:noWrap/>
            <w:vAlign w:val="bottom"/>
            <w:hideMark/>
          </w:tcPr>
          <w:p w14:paraId="61AEF3A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1 202</w:t>
            </w:r>
          </w:p>
        </w:tc>
        <w:tc>
          <w:tcPr>
            <w:tcW w:w="624" w:type="dxa"/>
            <w:tcBorders>
              <w:top w:val="nil"/>
              <w:left w:val="nil"/>
              <w:bottom w:val="single" w:sz="4" w:space="0" w:color="auto"/>
              <w:right w:val="single" w:sz="4" w:space="0" w:color="auto"/>
            </w:tcBorders>
            <w:shd w:val="clear" w:color="auto" w:fill="auto"/>
            <w:noWrap/>
            <w:vAlign w:val="bottom"/>
            <w:hideMark/>
          </w:tcPr>
          <w:p w14:paraId="0FC7767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1 256</w:t>
            </w:r>
          </w:p>
        </w:tc>
        <w:tc>
          <w:tcPr>
            <w:tcW w:w="624" w:type="dxa"/>
            <w:tcBorders>
              <w:top w:val="nil"/>
              <w:left w:val="nil"/>
              <w:bottom w:val="single" w:sz="4" w:space="0" w:color="auto"/>
              <w:right w:val="single" w:sz="4" w:space="0" w:color="auto"/>
            </w:tcBorders>
            <w:shd w:val="clear" w:color="auto" w:fill="auto"/>
            <w:noWrap/>
            <w:vAlign w:val="bottom"/>
            <w:hideMark/>
          </w:tcPr>
          <w:p w14:paraId="721775C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1 317</w:t>
            </w:r>
          </w:p>
        </w:tc>
        <w:tc>
          <w:tcPr>
            <w:tcW w:w="624" w:type="dxa"/>
            <w:tcBorders>
              <w:top w:val="nil"/>
              <w:left w:val="nil"/>
              <w:bottom w:val="single" w:sz="4" w:space="0" w:color="auto"/>
              <w:right w:val="single" w:sz="4" w:space="0" w:color="auto"/>
            </w:tcBorders>
            <w:shd w:val="clear" w:color="auto" w:fill="auto"/>
            <w:noWrap/>
            <w:vAlign w:val="bottom"/>
            <w:hideMark/>
          </w:tcPr>
          <w:p w14:paraId="090F7F3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1 385</w:t>
            </w:r>
          </w:p>
        </w:tc>
        <w:tc>
          <w:tcPr>
            <w:tcW w:w="624" w:type="dxa"/>
            <w:tcBorders>
              <w:top w:val="nil"/>
              <w:left w:val="nil"/>
              <w:bottom w:val="single" w:sz="4" w:space="0" w:color="auto"/>
              <w:right w:val="single" w:sz="4" w:space="0" w:color="auto"/>
            </w:tcBorders>
            <w:shd w:val="clear" w:color="auto" w:fill="auto"/>
            <w:noWrap/>
            <w:vAlign w:val="bottom"/>
            <w:hideMark/>
          </w:tcPr>
          <w:p w14:paraId="328FFB9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1 401</w:t>
            </w:r>
          </w:p>
        </w:tc>
        <w:tc>
          <w:tcPr>
            <w:tcW w:w="624" w:type="dxa"/>
            <w:tcBorders>
              <w:top w:val="nil"/>
              <w:left w:val="nil"/>
              <w:bottom w:val="single" w:sz="4" w:space="0" w:color="auto"/>
              <w:right w:val="single" w:sz="4" w:space="0" w:color="auto"/>
            </w:tcBorders>
            <w:shd w:val="clear" w:color="auto" w:fill="auto"/>
            <w:noWrap/>
            <w:vAlign w:val="bottom"/>
            <w:hideMark/>
          </w:tcPr>
          <w:p w14:paraId="58B3491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1 483</w:t>
            </w:r>
          </w:p>
        </w:tc>
        <w:tc>
          <w:tcPr>
            <w:tcW w:w="624" w:type="dxa"/>
            <w:tcBorders>
              <w:top w:val="nil"/>
              <w:left w:val="nil"/>
              <w:bottom w:val="single" w:sz="4" w:space="0" w:color="auto"/>
              <w:right w:val="single" w:sz="4" w:space="0" w:color="auto"/>
            </w:tcBorders>
            <w:shd w:val="clear" w:color="auto" w:fill="auto"/>
            <w:noWrap/>
            <w:vAlign w:val="bottom"/>
            <w:hideMark/>
          </w:tcPr>
          <w:p w14:paraId="7108AA0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1 494</w:t>
            </w:r>
          </w:p>
        </w:tc>
        <w:tc>
          <w:tcPr>
            <w:tcW w:w="624" w:type="dxa"/>
            <w:tcBorders>
              <w:top w:val="nil"/>
              <w:left w:val="nil"/>
              <w:bottom w:val="single" w:sz="4" w:space="0" w:color="auto"/>
              <w:right w:val="single" w:sz="4" w:space="0" w:color="auto"/>
            </w:tcBorders>
            <w:shd w:val="clear" w:color="auto" w:fill="auto"/>
            <w:noWrap/>
            <w:vAlign w:val="bottom"/>
            <w:hideMark/>
          </w:tcPr>
          <w:p w14:paraId="7470069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1 455</w:t>
            </w:r>
          </w:p>
        </w:tc>
        <w:tc>
          <w:tcPr>
            <w:tcW w:w="624" w:type="dxa"/>
            <w:tcBorders>
              <w:top w:val="nil"/>
              <w:left w:val="nil"/>
              <w:bottom w:val="single" w:sz="4" w:space="0" w:color="auto"/>
              <w:right w:val="single" w:sz="4" w:space="0" w:color="auto"/>
            </w:tcBorders>
            <w:shd w:val="clear" w:color="auto" w:fill="auto"/>
            <w:noWrap/>
            <w:vAlign w:val="bottom"/>
            <w:hideMark/>
          </w:tcPr>
          <w:p w14:paraId="08B8C6B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1 543</w:t>
            </w:r>
          </w:p>
        </w:tc>
      </w:tr>
      <w:tr w:rsidR="001C31BE" w:rsidRPr="001C31BE" w14:paraId="3C300249"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A66C443"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MD</w:t>
            </w:r>
          </w:p>
        </w:tc>
        <w:tc>
          <w:tcPr>
            <w:tcW w:w="624" w:type="dxa"/>
            <w:tcBorders>
              <w:top w:val="nil"/>
              <w:left w:val="nil"/>
              <w:bottom w:val="single" w:sz="4" w:space="0" w:color="auto"/>
              <w:right w:val="single" w:sz="4" w:space="0" w:color="auto"/>
            </w:tcBorders>
            <w:shd w:val="clear" w:color="auto" w:fill="auto"/>
            <w:noWrap/>
            <w:vAlign w:val="bottom"/>
            <w:hideMark/>
          </w:tcPr>
          <w:p w14:paraId="03841D6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171</w:t>
            </w:r>
          </w:p>
        </w:tc>
        <w:tc>
          <w:tcPr>
            <w:tcW w:w="624" w:type="dxa"/>
            <w:tcBorders>
              <w:top w:val="nil"/>
              <w:left w:val="nil"/>
              <w:bottom w:val="single" w:sz="4" w:space="0" w:color="auto"/>
              <w:right w:val="single" w:sz="4" w:space="0" w:color="auto"/>
            </w:tcBorders>
            <w:shd w:val="clear" w:color="auto" w:fill="auto"/>
            <w:noWrap/>
            <w:vAlign w:val="bottom"/>
            <w:hideMark/>
          </w:tcPr>
          <w:p w14:paraId="7E69A55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178</w:t>
            </w:r>
          </w:p>
        </w:tc>
        <w:tc>
          <w:tcPr>
            <w:tcW w:w="624" w:type="dxa"/>
            <w:tcBorders>
              <w:top w:val="nil"/>
              <w:left w:val="nil"/>
              <w:bottom w:val="single" w:sz="4" w:space="0" w:color="auto"/>
              <w:right w:val="single" w:sz="4" w:space="0" w:color="auto"/>
            </w:tcBorders>
            <w:shd w:val="clear" w:color="auto" w:fill="auto"/>
            <w:noWrap/>
            <w:vAlign w:val="bottom"/>
            <w:hideMark/>
          </w:tcPr>
          <w:p w14:paraId="35F8735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190</w:t>
            </w:r>
          </w:p>
        </w:tc>
        <w:tc>
          <w:tcPr>
            <w:tcW w:w="624" w:type="dxa"/>
            <w:tcBorders>
              <w:top w:val="nil"/>
              <w:left w:val="nil"/>
              <w:bottom w:val="single" w:sz="4" w:space="0" w:color="auto"/>
              <w:right w:val="single" w:sz="4" w:space="0" w:color="auto"/>
            </w:tcBorders>
            <w:shd w:val="clear" w:color="auto" w:fill="auto"/>
            <w:noWrap/>
            <w:vAlign w:val="bottom"/>
            <w:hideMark/>
          </w:tcPr>
          <w:p w14:paraId="176D92C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209</w:t>
            </w:r>
          </w:p>
        </w:tc>
        <w:tc>
          <w:tcPr>
            <w:tcW w:w="624" w:type="dxa"/>
            <w:tcBorders>
              <w:top w:val="nil"/>
              <w:left w:val="nil"/>
              <w:bottom w:val="single" w:sz="4" w:space="0" w:color="auto"/>
              <w:right w:val="single" w:sz="4" w:space="0" w:color="auto"/>
            </w:tcBorders>
            <w:shd w:val="clear" w:color="auto" w:fill="auto"/>
            <w:noWrap/>
            <w:vAlign w:val="bottom"/>
            <w:hideMark/>
          </w:tcPr>
          <w:p w14:paraId="61A451F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202</w:t>
            </w:r>
          </w:p>
        </w:tc>
        <w:tc>
          <w:tcPr>
            <w:tcW w:w="624" w:type="dxa"/>
            <w:tcBorders>
              <w:top w:val="nil"/>
              <w:left w:val="nil"/>
              <w:bottom w:val="single" w:sz="4" w:space="0" w:color="auto"/>
              <w:right w:val="single" w:sz="4" w:space="0" w:color="auto"/>
            </w:tcBorders>
            <w:shd w:val="clear" w:color="auto" w:fill="auto"/>
            <w:noWrap/>
            <w:vAlign w:val="bottom"/>
            <w:hideMark/>
          </w:tcPr>
          <w:p w14:paraId="77E8D4E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208</w:t>
            </w:r>
          </w:p>
        </w:tc>
        <w:tc>
          <w:tcPr>
            <w:tcW w:w="624" w:type="dxa"/>
            <w:tcBorders>
              <w:top w:val="nil"/>
              <w:left w:val="nil"/>
              <w:bottom w:val="single" w:sz="4" w:space="0" w:color="auto"/>
              <w:right w:val="single" w:sz="4" w:space="0" w:color="auto"/>
            </w:tcBorders>
            <w:shd w:val="clear" w:color="auto" w:fill="auto"/>
            <w:noWrap/>
            <w:vAlign w:val="bottom"/>
            <w:hideMark/>
          </w:tcPr>
          <w:p w14:paraId="3A3D9FC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246</w:t>
            </w:r>
          </w:p>
        </w:tc>
        <w:tc>
          <w:tcPr>
            <w:tcW w:w="624" w:type="dxa"/>
            <w:tcBorders>
              <w:top w:val="nil"/>
              <w:left w:val="nil"/>
              <w:bottom w:val="single" w:sz="4" w:space="0" w:color="auto"/>
              <w:right w:val="single" w:sz="4" w:space="0" w:color="auto"/>
            </w:tcBorders>
            <w:shd w:val="clear" w:color="auto" w:fill="auto"/>
            <w:noWrap/>
            <w:vAlign w:val="bottom"/>
            <w:hideMark/>
          </w:tcPr>
          <w:p w14:paraId="69267B2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213</w:t>
            </w:r>
          </w:p>
        </w:tc>
        <w:tc>
          <w:tcPr>
            <w:tcW w:w="624" w:type="dxa"/>
            <w:tcBorders>
              <w:top w:val="nil"/>
              <w:left w:val="nil"/>
              <w:bottom w:val="single" w:sz="4" w:space="0" w:color="auto"/>
              <w:right w:val="single" w:sz="4" w:space="0" w:color="auto"/>
            </w:tcBorders>
            <w:shd w:val="clear" w:color="auto" w:fill="auto"/>
            <w:noWrap/>
            <w:vAlign w:val="bottom"/>
            <w:hideMark/>
          </w:tcPr>
          <w:p w14:paraId="044FE21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249</w:t>
            </w:r>
          </w:p>
        </w:tc>
        <w:tc>
          <w:tcPr>
            <w:tcW w:w="624" w:type="dxa"/>
            <w:tcBorders>
              <w:top w:val="nil"/>
              <w:left w:val="nil"/>
              <w:bottom w:val="single" w:sz="4" w:space="0" w:color="auto"/>
              <w:right w:val="single" w:sz="4" w:space="0" w:color="auto"/>
            </w:tcBorders>
            <w:shd w:val="clear" w:color="auto" w:fill="auto"/>
            <w:noWrap/>
            <w:vAlign w:val="bottom"/>
            <w:hideMark/>
          </w:tcPr>
          <w:p w14:paraId="07A21C9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239</w:t>
            </w:r>
          </w:p>
        </w:tc>
        <w:tc>
          <w:tcPr>
            <w:tcW w:w="624" w:type="dxa"/>
            <w:tcBorders>
              <w:top w:val="nil"/>
              <w:left w:val="nil"/>
              <w:bottom w:val="single" w:sz="4" w:space="0" w:color="auto"/>
              <w:right w:val="single" w:sz="4" w:space="0" w:color="auto"/>
            </w:tcBorders>
            <w:shd w:val="clear" w:color="auto" w:fill="auto"/>
            <w:noWrap/>
            <w:vAlign w:val="bottom"/>
            <w:hideMark/>
          </w:tcPr>
          <w:p w14:paraId="712EE30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237</w:t>
            </w:r>
          </w:p>
        </w:tc>
        <w:tc>
          <w:tcPr>
            <w:tcW w:w="624" w:type="dxa"/>
            <w:tcBorders>
              <w:top w:val="nil"/>
              <w:left w:val="nil"/>
              <w:bottom w:val="single" w:sz="4" w:space="0" w:color="auto"/>
              <w:right w:val="single" w:sz="4" w:space="0" w:color="auto"/>
            </w:tcBorders>
            <w:shd w:val="clear" w:color="auto" w:fill="auto"/>
            <w:noWrap/>
            <w:vAlign w:val="bottom"/>
            <w:hideMark/>
          </w:tcPr>
          <w:p w14:paraId="2EC97E0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204</w:t>
            </w:r>
          </w:p>
        </w:tc>
        <w:tc>
          <w:tcPr>
            <w:tcW w:w="624" w:type="dxa"/>
            <w:tcBorders>
              <w:top w:val="nil"/>
              <w:left w:val="nil"/>
              <w:bottom w:val="single" w:sz="4" w:space="0" w:color="auto"/>
              <w:right w:val="single" w:sz="4" w:space="0" w:color="auto"/>
            </w:tcBorders>
            <w:shd w:val="clear" w:color="auto" w:fill="auto"/>
            <w:noWrap/>
            <w:vAlign w:val="bottom"/>
            <w:hideMark/>
          </w:tcPr>
          <w:p w14:paraId="02F3D83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190</w:t>
            </w:r>
          </w:p>
        </w:tc>
        <w:tc>
          <w:tcPr>
            <w:tcW w:w="624" w:type="dxa"/>
            <w:tcBorders>
              <w:top w:val="nil"/>
              <w:left w:val="nil"/>
              <w:bottom w:val="single" w:sz="4" w:space="0" w:color="auto"/>
              <w:right w:val="single" w:sz="4" w:space="0" w:color="auto"/>
            </w:tcBorders>
            <w:shd w:val="clear" w:color="auto" w:fill="auto"/>
            <w:noWrap/>
            <w:vAlign w:val="bottom"/>
            <w:hideMark/>
          </w:tcPr>
          <w:p w14:paraId="5FB96B8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209</w:t>
            </w:r>
          </w:p>
        </w:tc>
        <w:tc>
          <w:tcPr>
            <w:tcW w:w="624" w:type="dxa"/>
            <w:tcBorders>
              <w:top w:val="nil"/>
              <w:left w:val="nil"/>
              <w:bottom w:val="single" w:sz="4" w:space="0" w:color="auto"/>
              <w:right w:val="single" w:sz="4" w:space="0" w:color="auto"/>
            </w:tcBorders>
            <w:shd w:val="clear" w:color="auto" w:fill="auto"/>
            <w:noWrap/>
            <w:vAlign w:val="bottom"/>
            <w:hideMark/>
          </w:tcPr>
          <w:p w14:paraId="675ED57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207</w:t>
            </w:r>
          </w:p>
        </w:tc>
      </w:tr>
      <w:tr w:rsidR="001C31BE" w:rsidRPr="001C31BE" w14:paraId="7508B88B"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8D46C02"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lastRenderedPageBreak/>
              <w:t>ME</w:t>
            </w:r>
          </w:p>
        </w:tc>
        <w:tc>
          <w:tcPr>
            <w:tcW w:w="624" w:type="dxa"/>
            <w:tcBorders>
              <w:top w:val="nil"/>
              <w:left w:val="nil"/>
              <w:bottom w:val="single" w:sz="4" w:space="0" w:color="auto"/>
              <w:right w:val="single" w:sz="4" w:space="0" w:color="auto"/>
            </w:tcBorders>
            <w:shd w:val="clear" w:color="auto" w:fill="auto"/>
            <w:noWrap/>
            <w:vAlign w:val="bottom"/>
            <w:hideMark/>
          </w:tcPr>
          <w:p w14:paraId="2840592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475</w:t>
            </w:r>
          </w:p>
        </w:tc>
        <w:tc>
          <w:tcPr>
            <w:tcW w:w="624" w:type="dxa"/>
            <w:tcBorders>
              <w:top w:val="nil"/>
              <w:left w:val="nil"/>
              <w:bottom w:val="single" w:sz="4" w:space="0" w:color="auto"/>
              <w:right w:val="single" w:sz="4" w:space="0" w:color="auto"/>
            </w:tcBorders>
            <w:shd w:val="clear" w:color="auto" w:fill="auto"/>
            <w:noWrap/>
            <w:vAlign w:val="bottom"/>
            <w:hideMark/>
          </w:tcPr>
          <w:p w14:paraId="47A7F6A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473</w:t>
            </w:r>
          </w:p>
        </w:tc>
        <w:tc>
          <w:tcPr>
            <w:tcW w:w="624" w:type="dxa"/>
            <w:tcBorders>
              <w:top w:val="nil"/>
              <w:left w:val="nil"/>
              <w:bottom w:val="single" w:sz="4" w:space="0" w:color="auto"/>
              <w:right w:val="single" w:sz="4" w:space="0" w:color="auto"/>
            </w:tcBorders>
            <w:shd w:val="clear" w:color="auto" w:fill="auto"/>
            <w:noWrap/>
            <w:vAlign w:val="bottom"/>
            <w:hideMark/>
          </w:tcPr>
          <w:p w14:paraId="11ADDF8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549</w:t>
            </w:r>
          </w:p>
        </w:tc>
        <w:tc>
          <w:tcPr>
            <w:tcW w:w="624" w:type="dxa"/>
            <w:tcBorders>
              <w:top w:val="nil"/>
              <w:left w:val="nil"/>
              <w:bottom w:val="single" w:sz="4" w:space="0" w:color="auto"/>
              <w:right w:val="single" w:sz="4" w:space="0" w:color="auto"/>
            </w:tcBorders>
            <w:shd w:val="clear" w:color="auto" w:fill="auto"/>
            <w:noWrap/>
            <w:vAlign w:val="bottom"/>
            <w:hideMark/>
          </w:tcPr>
          <w:p w14:paraId="5663F6E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653</w:t>
            </w:r>
          </w:p>
        </w:tc>
        <w:tc>
          <w:tcPr>
            <w:tcW w:w="624" w:type="dxa"/>
            <w:tcBorders>
              <w:top w:val="nil"/>
              <w:left w:val="nil"/>
              <w:bottom w:val="single" w:sz="4" w:space="0" w:color="auto"/>
              <w:right w:val="single" w:sz="4" w:space="0" w:color="auto"/>
            </w:tcBorders>
            <w:shd w:val="clear" w:color="auto" w:fill="auto"/>
            <w:noWrap/>
            <w:vAlign w:val="bottom"/>
            <w:hideMark/>
          </w:tcPr>
          <w:p w14:paraId="54031D9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658</w:t>
            </w:r>
          </w:p>
        </w:tc>
        <w:tc>
          <w:tcPr>
            <w:tcW w:w="624" w:type="dxa"/>
            <w:tcBorders>
              <w:top w:val="nil"/>
              <w:left w:val="nil"/>
              <w:bottom w:val="single" w:sz="4" w:space="0" w:color="auto"/>
              <w:right w:val="single" w:sz="4" w:space="0" w:color="auto"/>
            </w:tcBorders>
            <w:shd w:val="clear" w:color="auto" w:fill="auto"/>
            <w:noWrap/>
            <w:vAlign w:val="bottom"/>
            <w:hideMark/>
          </w:tcPr>
          <w:p w14:paraId="1692C30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816</w:t>
            </w:r>
          </w:p>
        </w:tc>
        <w:tc>
          <w:tcPr>
            <w:tcW w:w="624" w:type="dxa"/>
            <w:tcBorders>
              <w:top w:val="nil"/>
              <w:left w:val="nil"/>
              <w:bottom w:val="single" w:sz="4" w:space="0" w:color="auto"/>
              <w:right w:val="single" w:sz="4" w:space="0" w:color="auto"/>
            </w:tcBorders>
            <w:shd w:val="clear" w:color="auto" w:fill="auto"/>
            <w:noWrap/>
            <w:vAlign w:val="bottom"/>
            <w:hideMark/>
          </w:tcPr>
          <w:p w14:paraId="1750E4F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892</w:t>
            </w:r>
          </w:p>
        </w:tc>
        <w:tc>
          <w:tcPr>
            <w:tcW w:w="624" w:type="dxa"/>
            <w:tcBorders>
              <w:top w:val="nil"/>
              <w:left w:val="nil"/>
              <w:bottom w:val="single" w:sz="4" w:space="0" w:color="auto"/>
              <w:right w:val="single" w:sz="4" w:space="0" w:color="auto"/>
            </w:tcBorders>
            <w:shd w:val="clear" w:color="auto" w:fill="auto"/>
            <w:noWrap/>
            <w:vAlign w:val="bottom"/>
            <w:hideMark/>
          </w:tcPr>
          <w:p w14:paraId="156BE5F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984</w:t>
            </w:r>
          </w:p>
        </w:tc>
        <w:tc>
          <w:tcPr>
            <w:tcW w:w="624" w:type="dxa"/>
            <w:tcBorders>
              <w:top w:val="nil"/>
              <w:left w:val="nil"/>
              <w:bottom w:val="single" w:sz="4" w:space="0" w:color="auto"/>
              <w:right w:val="single" w:sz="4" w:space="0" w:color="auto"/>
            </w:tcBorders>
            <w:shd w:val="clear" w:color="auto" w:fill="auto"/>
            <w:noWrap/>
            <w:vAlign w:val="bottom"/>
            <w:hideMark/>
          </w:tcPr>
          <w:p w14:paraId="6762FF1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1 005</w:t>
            </w:r>
          </w:p>
        </w:tc>
        <w:tc>
          <w:tcPr>
            <w:tcW w:w="624" w:type="dxa"/>
            <w:tcBorders>
              <w:top w:val="nil"/>
              <w:left w:val="nil"/>
              <w:bottom w:val="single" w:sz="4" w:space="0" w:color="auto"/>
              <w:right w:val="single" w:sz="4" w:space="0" w:color="auto"/>
            </w:tcBorders>
            <w:shd w:val="clear" w:color="auto" w:fill="auto"/>
            <w:noWrap/>
            <w:vAlign w:val="bottom"/>
            <w:hideMark/>
          </w:tcPr>
          <w:p w14:paraId="5BE0E99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1 070</w:t>
            </w:r>
          </w:p>
        </w:tc>
        <w:tc>
          <w:tcPr>
            <w:tcW w:w="624" w:type="dxa"/>
            <w:tcBorders>
              <w:top w:val="nil"/>
              <w:left w:val="nil"/>
              <w:bottom w:val="single" w:sz="4" w:space="0" w:color="auto"/>
              <w:right w:val="single" w:sz="4" w:space="0" w:color="auto"/>
            </w:tcBorders>
            <w:shd w:val="clear" w:color="auto" w:fill="auto"/>
            <w:noWrap/>
            <w:vAlign w:val="bottom"/>
            <w:hideMark/>
          </w:tcPr>
          <w:p w14:paraId="5E6D8C8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1 179</w:t>
            </w:r>
          </w:p>
        </w:tc>
        <w:tc>
          <w:tcPr>
            <w:tcW w:w="624" w:type="dxa"/>
            <w:tcBorders>
              <w:top w:val="nil"/>
              <w:left w:val="nil"/>
              <w:bottom w:val="single" w:sz="4" w:space="0" w:color="auto"/>
              <w:right w:val="single" w:sz="4" w:space="0" w:color="auto"/>
            </w:tcBorders>
            <w:shd w:val="clear" w:color="auto" w:fill="auto"/>
            <w:noWrap/>
            <w:vAlign w:val="bottom"/>
            <w:hideMark/>
          </w:tcPr>
          <w:p w14:paraId="2BB53F5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1 234</w:t>
            </w:r>
          </w:p>
        </w:tc>
        <w:tc>
          <w:tcPr>
            <w:tcW w:w="624" w:type="dxa"/>
            <w:tcBorders>
              <w:top w:val="nil"/>
              <w:left w:val="nil"/>
              <w:bottom w:val="single" w:sz="4" w:space="0" w:color="auto"/>
              <w:right w:val="single" w:sz="4" w:space="0" w:color="auto"/>
            </w:tcBorders>
            <w:shd w:val="clear" w:color="auto" w:fill="auto"/>
            <w:noWrap/>
            <w:vAlign w:val="bottom"/>
            <w:hideMark/>
          </w:tcPr>
          <w:p w14:paraId="634B785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1 180</w:t>
            </w:r>
          </w:p>
        </w:tc>
        <w:tc>
          <w:tcPr>
            <w:tcW w:w="624" w:type="dxa"/>
            <w:tcBorders>
              <w:top w:val="nil"/>
              <w:left w:val="nil"/>
              <w:bottom w:val="single" w:sz="4" w:space="0" w:color="auto"/>
              <w:right w:val="single" w:sz="4" w:space="0" w:color="auto"/>
            </w:tcBorders>
            <w:shd w:val="clear" w:color="auto" w:fill="auto"/>
            <w:noWrap/>
            <w:vAlign w:val="bottom"/>
            <w:hideMark/>
          </w:tcPr>
          <w:p w14:paraId="61559BD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1 092</w:t>
            </w:r>
          </w:p>
        </w:tc>
        <w:tc>
          <w:tcPr>
            <w:tcW w:w="624" w:type="dxa"/>
            <w:tcBorders>
              <w:top w:val="nil"/>
              <w:left w:val="nil"/>
              <w:bottom w:val="single" w:sz="4" w:space="0" w:color="auto"/>
              <w:right w:val="single" w:sz="4" w:space="0" w:color="auto"/>
            </w:tcBorders>
            <w:shd w:val="clear" w:color="auto" w:fill="auto"/>
            <w:noWrap/>
            <w:vAlign w:val="bottom"/>
            <w:hideMark/>
          </w:tcPr>
          <w:p w14:paraId="2C48845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1 299</w:t>
            </w:r>
          </w:p>
        </w:tc>
      </w:tr>
      <w:tr w:rsidR="001C31BE" w:rsidRPr="001C31BE" w14:paraId="2E6B6773"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A9C9146"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RO</w:t>
            </w:r>
          </w:p>
        </w:tc>
        <w:tc>
          <w:tcPr>
            <w:tcW w:w="624" w:type="dxa"/>
            <w:tcBorders>
              <w:top w:val="nil"/>
              <w:left w:val="nil"/>
              <w:bottom w:val="single" w:sz="4" w:space="0" w:color="auto"/>
              <w:right w:val="single" w:sz="4" w:space="0" w:color="auto"/>
            </w:tcBorders>
            <w:shd w:val="clear" w:color="auto" w:fill="auto"/>
            <w:noWrap/>
            <w:vAlign w:val="bottom"/>
            <w:hideMark/>
          </w:tcPr>
          <w:p w14:paraId="137E101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808</w:t>
            </w:r>
          </w:p>
        </w:tc>
        <w:tc>
          <w:tcPr>
            <w:tcW w:w="624" w:type="dxa"/>
            <w:tcBorders>
              <w:top w:val="nil"/>
              <w:left w:val="nil"/>
              <w:bottom w:val="single" w:sz="4" w:space="0" w:color="auto"/>
              <w:right w:val="single" w:sz="4" w:space="0" w:color="auto"/>
            </w:tcBorders>
            <w:shd w:val="clear" w:color="auto" w:fill="auto"/>
            <w:noWrap/>
            <w:vAlign w:val="bottom"/>
            <w:hideMark/>
          </w:tcPr>
          <w:p w14:paraId="663CC84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811</w:t>
            </w:r>
          </w:p>
        </w:tc>
        <w:tc>
          <w:tcPr>
            <w:tcW w:w="624" w:type="dxa"/>
            <w:tcBorders>
              <w:top w:val="nil"/>
              <w:left w:val="nil"/>
              <w:bottom w:val="single" w:sz="4" w:space="0" w:color="auto"/>
              <w:right w:val="single" w:sz="4" w:space="0" w:color="auto"/>
            </w:tcBorders>
            <w:shd w:val="clear" w:color="auto" w:fill="auto"/>
            <w:noWrap/>
            <w:vAlign w:val="bottom"/>
            <w:hideMark/>
          </w:tcPr>
          <w:p w14:paraId="44DD32C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868</w:t>
            </w:r>
          </w:p>
        </w:tc>
        <w:tc>
          <w:tcPr>
            <w:tcW w:w="624" w:type="dxa"/>
            <w:tcBorders>
              <w:top w:val="nil"/>
              <w:left w:val="nil"/>
              <w:bottom w:val="single" w:sz="4" w:space="0" w:color="auto"/>
              <w:right w:val="single" w:sz="4" w:space="0" w:color="auto"/>
            </w:tcBorders>
            <w:shd w:val="clear" w:color="auto" w:fill="auto"/>
            <w:noWrap/>
            <w:vAlign w:val="bottom"/>
            <w:hideMark/>
          </w:tcPr>
          <w:p w14:paraId="74F1B8F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950</w:t>
            </w:r>
          </w:p>
        </w:tc>
        <w:tc>
          <w:tcPr>
            <w:tcW w:w="624" w:type="dxa"/>
            <w:tcBorders>
              <w:top w:val="nil"/>
              <w:left w:val="nil"/>
              <w:bottom w:val="single" w:sz="4" w:space="0" w:color="auto"/>
              <w:right w:val="single" w:sz="4" w:space="0" w:color="auto"/>
            </w:tcBorders>
            <w:shd w:val="clear" w:color="auto" w:fill="auto"/>
            <w:noWrap/>
            <w:vAlign w:val="bottom"/>
            <w:hideMark/>
          </w:tcPr>
          <w:p w14:paraId="78527A5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1 011</w:t>
            </w:r>
          </w:p>
        </w:tc>
        <w:tc>
          <w:tcPr>
            <w:tcW w:w="624" w:type="dxa"/>
            <w:tcBorders>
              <w:top w:val="nil"/>
              <w:left w:val="nil"/>
              <w:bottom w:val="single" w:sz="4" w:space="0" w:color="auto"/>
              <w:right w:val="single" w:sz="4" w:space="0" w:color="auto"/>
            </w:tcBorders>
            <w:shd w:val="clear" w:color="auto" w:fill="auto"/>
            <w:noWrap/>
            <w:vAlign w:val="bottom"/>
            <w:hideMark/>
          </w:tcPr>
          <w:p w14:paraId="0F2BE02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1 083</w:t>
            </w:r>
          </w:p>
        </w:tc>
        <w:tc>
          <w:tcPr>
            <w:tcW w:w="624" w:type="dxa"/>
            <w:tcBorders>
              <w:top w:val="nil"/>
              <w:left w:val="nil"/>
              <w:bottom w:val="single" w:sz="4" w:space="0" w:color="auto"/>
              <w:right w:val="single" w:sz="4" w:space="0" w:color="auto"/>
            </w:tcBorders>
            <w:shd w:val="clear" w:color="auto" w:fill="auto"/>
            <w:noWrap/>
            <w:vAlign w:val="bottom"/>
            <w:hideMark/>
          </w:tcPr>
          <w:p w14:paraId="2143FB5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1 015</w:t>
            </w:r>
          </w:p>
        </w:tc>
        <w:tc>
          <w:tcPr>
            <w:tcW w:w="624" w:type="dxa"/>
            <w:tcBorders>
              <w:top w:val="nil"/>
              <w:left w:val="nil"/>
              <w:bottom w:val="single" w:sz="4" w:space="0" w:color="auto"/>
              <w:right w:val="single" w:sz="4" w:space="0" w:color="auto"/>
            </w:tcBorders>
            <w:shd w:val="clear" w:color="auto" w:fill="auto"/>
            <w:noWrap/>
            <w:vAlign w:val="bottom"/>
            <w:hideMark/>
          </w:tcPr>
          <w:p w14:paraId="480DD5A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1 034</w:t>
            </w:r>
          </w:p>
        </w:tc>
        <w:tc>
          <w:tcPr>
            <w:tcW w:w="624" w:type="dxa"/>
            <w:tcBorders>
              <w:top w:val="nil"/>
              <w:left w:val="nil"/>
              <w:bottom w:val="single" w:sz="4" w:space="0" w:color="auto"/>
              <w:right w:val="single" w:sz="4" w:space="0" w:color="auto"/>
            </w:tcBorders>
            <w:shd w:val="clear" w:color="auto" w:fill="auto"/>
            <w:noWrap/>
            <w:vAlign w:val="bottom"/>
            <w:hideMark/>
          </w:tcPr>
          <w:p w14:paraId="55CB39F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1 028</w:t>
            </w:r>
          </w:p>
        </w:tc>
        <w:tc>
          <w:tcPr>
            <w:tcW w:w="624" w:type="dxa"/>
            <w:tcBorders>
              <w:top w:val="nil"/>
              <w:left w:val="nil"/>
              <w:bottom w:val="single" w:sz="4" w:space="0" w:color="auto"/>
              <w:right w:val="single" w:sz="4" w:space="0" w:color="auto"/>
            </w:tcBorders>
            <w:shd w:val="clear" w:color="auto" w:fill="auto"/>
            <w:noWrap/>
            <w:vAlign w:val="bottom"/>
            <w:hideMark/>
          </w:tcPr>
          <w:p w14:paraId="707BBD0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1 126</w:t>
            </w:r>
          </w:p>
        </w:tc>
        <w:tc>
          <w:tcPr>
            <w:tcW w:w="624" w:type="dxa"/>
            <w:tcBorders>
              <w:top w:val="nil"/>
              <w:left w:val="nil"/>
              <w:bottom w:val="single" w:sz="4" w:space="0" w:color="auto"/>
              <w:right w:val="single" w:sz="4" w:space="0" w:color="auto"/>
            </w:tcBorders>
            <w:shd w:val="clear" w:color="auto" w:fill="auto"/>
            <w:noWrap/>
            <w:vAlign w:val="bottom"/>
            <w:hideMark/>
          </w:tcPr>
          <w:p w14:paraId="5610936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977</w:t>
            </w:r>
          </w:p>
        </w:tc>
        <w:tc>
          <w:tcPr>
            <w:tcW w:w="624" w:type="dxa"/>
            <w:tcBorders>
              <w:top w:val="nil"/>
              <w:left w:val="nil"/>
              <w:bottom w:val="single" w:sz="4" w:space="0" w:color="auto"/>
              <w:right w:val="single" w:sz="4" w:space="0" w:color="auto"/>
            </w:tcBorders>
            <w:shd w:val="clear" w:color="auto" w:fill="auto"/>
            <w:noWrap/>
            <w:vAlign w:val="bottom"/>
            <w:hideMark/>
          </w:tcPr>
          <w:p w14:paraId="54F2F39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984</w:t>
            </w:r>
          </w:p>
        </w:tc>
        <w:tc>
          <w:tcPr>
            <w:tcW w:w="624" w:type="dxa"/>
            <w:tcBorders>
              <w:top w:val="nil"/>
              <w:left w:val="nil"/>
              <w:bottom w:val="single" w:sz="4" w:space="0" w:color="auto"/>
              <w:right w:val="single" w:sz="4" w:space="0" w:color="auto"/>
            </w:tcBorders>
            <w:shd w:val="clear" w:color="auto" w:fill="auto"/>
            <w:noWrap/>
            <w:vAlign w:val="bottom"/>
            <w:hideMark/>
          </w:tcPr>
          <w:p w14:paraId="0777AB4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1 007</w:t>
            </w:r>
          </w:p>
        </w:tc>
        <w:tc>
          <w:tcPr>
            <w:tcW w:w="624" w:type="dxa"/>
            <w:tcBorders>
              <w:top w:val="nil"/>
              <w:left w:val="nil"/>
              <w:bottom w:val="single" w:sz="4" w:space="0" w:color="auto"/>
              <w:right w:val="single" w:sz="4" w:space="0" w:color="auto"/>
            </w:tcBorders>
            <w:shd w:val="clear" w:color="auto" w:fill="auto"/>
            <w:noWrap/>
            <w:vAlign w:val="bottom"/>
            <w:hideMark/>
          </w:tcPr>
          <w:p w14:paraId="14F32202"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978</w:t>
            </w:r>
          </w:p>
        </w:tc>
        <w:tc>
          <w:tcPr>
            <w:tcW w:w="624" w:type="dxa"/>
            <w:tcBorders>
              <w:top w:val="nil"/>
              <w:left w:val="nil"/>
              <w:bottom w:val="single" w:sz="4" w:space="0" w:color="auto"/>
              <w:right w:val="single" w:sz="4" w:space="0" w:color="auto"/>
            </w:tcBorders>
            <w:shd w:val="clear" w:color="auto" w:fill="auto"/>
            <w:noWrap/>
            <w:vAlign w:val="bottom"/>
            <w:hideMark/>
          </w:tcPr>
          <w:p w14:paraId="4E6C5E5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1 056</w:t>
            </w:r>
          </w:p>
        </w:tc>
      </w:tr>
      <w:tr w:rsidR="001C31BE" w:rsidRPr="001C31BE" w14:paraId="01955C73"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96C83B0"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RS</w:t>
            </w:r>
          </w:p>
        </w:tc>
        <w:tc>
          <w:tcPr>
            <w:tcW w:w="624" w:type="dxa"/>
            <w:tcBorders>
              <w:top w:val="nil"/>
              <w:left w:val="nil"/>
              <w:bottom w:val="single" w:sz="4" w:space="0" w:color="auto"/>
              <w:right w:val="single" w:sz="4" w:space="0" w:color="auto"/>
            </w:tcBorders>
            <w:shd w:val="clear" w:color="auto" w:fill="auto"/>
            <w:noWrap/>
            <w:vAlign w:val="bottom"/>
            <w:hideMark/>
          </w:tcPr>
          <w:p w14:paraId="0304D9C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938</w:t>
            </w:r>
          </w:p>
        </w:tc>
        <w:tc>
          <w:tcPr>
            <w:tcW w:w="624" w:type="dxa"/>
            <w:tcBorders>
              <w:top w:val="nil"/>
              <w:left w:val="nil"/>
              <w:bottom w:val="single" w:sz="4" w:space="0" w:color="auto"/>
              <w:right w:val="single" w:sz="4" w:space="0" w:color="auto"/>
            </w:tcBorders>
            <w:shd w:val="clear" w:color="auto" w:fill="auto"/>
            <w:noWrap/>
            <w:vAlign w:val="bottom"/>
            <w:hideMark/>
          </w:tcPr>
          <w:p w14:paraId="6C23247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1 010</w:t>
            </w:r>
          </w:p>
        </w:tc>
        <w:tc>
          <w:tcPr>
            <w:tcW w:w="624" w:type="dxa"/>
            <w:tcBorders>
              <w:top w:val="nil"/>
              <w:left w:val="nil"/>
              <w:bottom w:val="single" w:sz="4" w:space="0" w:color="auto"/>
              <w:right w:val="single" w:sz="4" w:space="0" w:color="auto"/>
            </w:tcBorders>
            <w:shd w:val="clear" w:color="auto" w:fill="auto"/>
            <w:noWrap/>
            <w:vAlign w:val="bottom"/>
            <w:hideMark/>
          </w:tcPr>
          <w:p w14:paraId="1B3A070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1 273</w:t>
            </w:r>
          </w:p>
        </w:tc>
        <w:tc>
          <w:tcPr>
            <w:tcW w:w="624" w:type="dxa"/>
            <w:tcBorders>
              <w:top w:val="nil"/>
              <w:left w:val="nil"/>
              <w:bottom w:val="single" w:sz="4" w:space="0" w:color="auto"/>
              <w:right w:val="single" w:sz="4" w:space="0" w:color="auto"/>
            </w:tcBorders>
            <w:shd w:val="clear" w:color="auto" w:fill="auto"/>
            <w:noWrap/>
            <w:vAlign w:val="bottom"/>
            <w:hideMark/>
          </w:tcPr>
          <w:p w14:paraId="1C2B76D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1 205</w:t>
            </w:r>
          </w:p>
        </w:tc>
        <w:tc>
          <w:tcPr>
            <w:tcW w:w="624" w:type="dxa"/>
            <w:tcBorders>
              <w:top w:val="nil"/>
              <w:left w:val="nil"/>
              <w:bottom w:val="single" w:sz="4" w:space="0" w:color="auto"/>
              <w:right w:val="single" w:sz="4" w:space="0" w:color="auto"/>
            </w:tcBorders>
            <w:shd w:val="clear" w:color="auto" w:fill="auto"/>
            <w:noWrap/>
            <w:vAlign w:val="bottom"/>
            <w:hideMark/>
          </w:tcPr>
          <w:p w14:paraId="4A7A3EB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1 210</w:t>
            </w:r>
          </w:p>
        </w:tc>
        <w:tc>
          <w:tcPr>
            <w:tcW w:w="624" w:type="dxa"/>
            <w:tcBorders>
              <w:top w:val="nil"/>
              <w:left w:val="nil"/>
              <w:bottom w:val="single" w:sz="4" w:space="0" w:color="auto"/>
              <w:right w:val="single" w:sz="4" w:space="0" w:color="auto"/>
            </w:tcBorders>
            <w:shd w:val="clear" w:color="auto" w:fill="auto"/>
            <w:noWrap/>
            <w:vAlign w:val="bottom"/>
            <w:hideMark/>
          </w:tcPr>
          <w:p w14:paraId="4EC5BA7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1 250</w:t>
            </w:r>
          </w:p>
        </w:tc>
        <w:tc>
          <w:tcPr>
            <w:tcW w:w="624" w:type="dxa"/>
            <w:tcBorders>
              <w:top w:val="nil"/>
              <w:left w:val="nil"/>
              <w:bottom w:val="single" w:sz="4" w:space="0" w:color="auto"/>
              <w:right w:val="single" w:sz="4" w:space="0" w:color="auto"/>
            </w:tcBorders>
            <w:shd w:val="clear" w:color="auto" w:fill="auto"/>
            <w:noWrap/>
            <w:vAlign w:val="bottom"/>
            <w:hideMark/>
          </w:tcPr>
          <w:p w14:paraId="128E5C7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1 273</w:t>
            </w:r>
          </w:p>
        </w:tc>
        <w:tc>
          <w:tcPr>
            <w:tcW w:w="624" w:type="dxa"/>
            <w:tcBorders>
              <w:top w:val="nil"/>
              <w:left w:val="nil"/>
              <w:bottom w:val="single" w:sz="4" w:space="0" w:color="auto"/>
              <w:right w:val="single" w:sz="4" w:space="0" w:color="auto"/>
            </w:tcBorders>
            <w:shd w:val="clear" w:color="auto" w:fill="auto"/>
            <w:noWrap/>
            <w:vAlign w:val="bottom"/>
            <w:hideMark/>
          </w:tcPr>
          <w:p w14:paraId="7A7E0BC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1 293</w:t>
            </w:r>
          </w:p>
        </w:tc>
        <w:tc>
          <w:tcPr>
            <w:tcW w:w="624" w:type="dxa"/>
            <w:tcBorders>
              <w:top w:val="nil"/>
              <w:left w:val="nil"/>
              <w:bottom w:val="single" w:sz="4" w:space="0" w:color="auto"/>
              <w:right w:val="single" w:sz="4" w:space="0" w:color="auto"/>
            </w:tcBorders>
            <w:shd w:val="clear" w:color="auto" w:fill="auto"/>
            <w:noWrap/>
            <w:vAlign w:val="bottom"/>
            <w:hideMark/>
          </w:tcPr>
          <w:p w14:paraId="5096ED9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1 245</w:t>
            </w:r>
          </w:p>
        </w:tc>
        <w:tc>
          <w:tcPr>
            <w:tcW w:w="624" w:type="dxa"/>
            <w:tcBorders>
              <w:top w:val="nil"/>
              <w:left w:val="nil"/>
              <w:bottom w:val="single" w:sz="4" w:space="0" w:color="auto"/>
              <w:right w:val="single" w:sz="4" w:space="0" w:color="auto"/>
            </w:tcBorders>
            <w:shd w:val="clear" w:color="auto" w:fill="auto"/>
            <w:noWrap/>
            <w:vAlign w:val="bottom"/>
            <w:hideMark/>
          </w:tcPr>
          <w:p w14:paraId="4925B67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1 386</w:t>
            </w:r>
          </w:p>
        </w:tc>
        <w:tc>
          <w:tcPr>
            <w:tcW w:w="624" w:type="dxa"/>
            <w:tcBorders>
              <w:top w:val="nil"/>
              <w:left w:val="nil"/>
              <w:bottom w:val="single" w:sz="4" w:space="0" w:color="auto"/>
              <w:right w:val="single" w:sz="4" w:space="0" w:color="auto"/>
            </w:tcBorders>
            <w:shd w:val="clear" w:color="auto" w:fill="auto"/>
            <w:noWrap/>
            <w:vAlign w:val="bottom"/>
            <w:hideMark/>
          </w:tcPr>
          <w:p w14:paraId="46D5A95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1 291</w:t>
            </w:r>
          </w:p>
        </w:tc>
        <w:tc>
          <w:tcPr>
            <w:tcW w:w="624" w:type="dxa"/>
            <w:tcBorders>
              <w:top w:val="nil"/>
              <w:left w:val="nil"/>
              <w:bottom w:val="single" w:sz="4" w:space="0" w:color="auto"/>
              <w:right w:val="single" w:sz="4" w:space="0" w:color="auto"/>
            </w:tcBorders>
            <w:shd w:val="clear" w:color="auto" w:fill="auto"/>
            <w:noWrap/>
            <w:vAlign w:val="bottom"/>
            <w:hideMark/>
          </w:tcPr>
          <w:p w14:paraId="0DCDDAE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1 385</w:t>
            </w:r>
          </w:p>
        </w:tc>
        <w:tc>
          <w:tcPr>
            <w:tcW w:w="624" w:type="dxa"/>
            <w:tcBorders>
              <w:top w:val="nil"/>
              <w:left w:val="nil"/>
              <w:bottom w:val="single" w:sz="4" w:space="0" w:color="auto"/>
              <w:right w:val="single" w:sz="4" w:space="0" w:color="auto"/>
            </w:tcBorders>
            <w:shd w:val="clear" w:color="auto" w:fill="auto"/>
            <w:noWrap/>
            <w:vAlign w:val="bottom"/>
            <w:hideMark/>
          </w:tcPr>
          <w:p w14:paraId="2D538C2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1 359</w:t>
            </w:r>
          </w:p>
        </w:tc>
        <w:tc>
          <w:tcPr>
            <w:tcW w:w="624" w:type="dxa"/>
            <w:tcBorders>
              <w:top w:val="nil"/>
              <w:left w:val="nil"/>
              <w:bottom w:val="single" w:sz="4" w:space="0" w:color="auto"/>
              <w:right w:val="single" w:sz="4" w:space="0" w:color="auto"/>
            </w:tcBorders>
            <w:shd w:val="clear" w:color="auto" w:fill="auto"/>
            <w:noWrap/>
            <w:vAlign w:val="bottom"/>
            <w:hideMark/>
          </w:tcPr>
          <w:p w14:paraId="7934DC3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1 326</w:t>
            </w:r>
          </w:p>
        </w:tc>
        <w:tc>
          <w:tcPr>
            <w:tcW w:w="624" w:type="dxa"/>
            <w:tcBorders>
              <w:top w:val="nil"/>
              <w:left w:val="nil"/>
              <w:bottom w:val="single" w:sz="4" w:space="0" w:color="auto"/>
              <w:right w:val="single" w:sz="4" w:space="0" w:color="auto"/>
            </w:tcBorders>
            <w:shd w:val="clear" w:color="auto" w:fill="auto"/>
            <w:noWrap/>
            <w:vAlign w:val="bottom"/>
            <w:hideMark/>
          </w:tcPr>
          <w:p w14:paraId="7BF1AD6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1 396</w:t>
            </w:r>
          </w:p>
        </w:tc>
      </w:tr>
      <w:tr w:rsidR="001C31BE" w:rsidRPr="001C31BE" w14:paraId="4721D63E"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A086524"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SK</w:t>
            </w:r>
          </w:p>
        </w:tc>
        <w:tc>
          <w:tcPr>
            <w:tcW w:w="624" w:type="dxa"/>
            <w:tcBorders>
              <w:top w:val="nil"/>
              <w:left w:val="nil"/>
              <w:bottom w:val="single" w:sz="4" w:space="0" w:color="auto"/>
              <w:right w:val="single" w:sz="4" w:space="0" w:color="auto"/>
            </w:tcBorders>
            <w:shd w:val="clear" w:color="auto" w:fill="auto"/>
            <w:noWrap/>
            <w:vAlign w:val="bottom"/>
            <w:hideMark/>
          </w:tcPr>
          <w:p w14:paraId="0F1D0D3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992</w:t>
            </w:r>
          </w:p>
        </w:tc>
        <w:tc>
          <w:tcPr>
            <w:tcW w:w="624" w:type="dxa"/>
            <w:tcBorders>
              <w:top w:val="nil"/>
              <w:left w:val="nil"/>
              <w:bottom w:val="single" w:sz="4" w:space="0" w:color="auto"/>
              <w:right w:val="single" w:sz="4" w:space="0" w:color="auto"/>
            </w:tcBorders>
            <w:shd w:val="clear" w:color="auto" w:fill="auto"/>
            <w:noWrap/>
            <w:vAlign w:val="bottom"/>
            <w:hideMark/>
          </w:tcPr>
          <w:p w14:paraId="6890D4F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955</w:t>
            </w:r>
          </w:p>
        </w:tc>
        <w:tc>
          <w:tcPr>
            <w:tcW w:w="624" w:type="dxa"/>
            <w:tcBorders>
              <w:top w:val="nil"/>
              <w:left w:val="nil"/>
              <w:bottom w:val="single" w:sz="4" w:space="0" w:color="auto"/>
              <w:right w:val="single" w:sz="4" w:space="0" w:color="auto"/>
            </w:tcBorders>
            <w:shd w:val="clear" w:color="auto" w:fill="auto"/>
            <w:noWrap/>
            <w:vAlign w:val="bottom"/>
            <w:hideMark/>
          </w:tcPr>
          <w:p w14:paraId="1745F2D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1 127</w:t>
            </w:r>
          </w:p>
        </w:tc>
        <w:tc>
          <w:tcPr>
            <w:tcW w:w="624" w:type="dxa"/>
            <w:tcBorders>
              <w:top w:val="nil"/>
              <w:left w:val="nil"/>
              <w:bottom w:val="single" w:sz="4" w:space="0" w:color="auto"/>
              <w:right w:val="single" w:sz="4" w:space="0" w:color="auto"/>
            </w:tcBorders>
            <w:shd w:val="clear" w:color="auto" w:fill="auto"/>
            <w:noWrap/>
            <w:vAlign w:val="bottom"/>
            <w:hideMark/>
          </w:tcPr>
          <w:p w14:paraId="71824BB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1 226</w:t>
            </w:r>
          </w:p>
        </w:tc>
        <w:tc>
          <w:tcPr>
            <w:tcW w:w="624" w:type="dxa"/>
            <w:tcBorders>
              <w:top w:val="nil"/>
              <w:left w:val="nil"/>
              <w:bottom w:val="single" w:sz="4" w:space="0" w:color="auto"/>
              <w:right w:val="single" w:sz="4" w:space="0" w:color="auto"/>
            </w:tcBorders>
            <w:shd w:val="clear" w:color="auto" w:fill="auto"/>
            <w:noWrap/>
            <w:vAlign w:val="bottom"/>
            <w:hideMark/>
          </w:tcPr>
          <w:p w14:paraId="2EA09AD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1 515</w:t>
            </w:r>
          </w:p>
        </w:tc>
        <w:tc>
          <w:tcPr>
            <w:tcW w:w="624" w:type="dxa"/>
            <w:tcBorders>
              <w:top w:val="nil"/>
              <w:left w:val="nil"/>
              <w:bottom w:val="single" w:sz="4" w:space="0" w:color="auto"/>
              <w:right w:val="single" w:sz="4" w:space="0" w:color="auto"/>
            </w:tcBorders>
            <w:shd w:val="clear" w:color="auto" w:fill="auto"/>
            <w:noWrap/>
            <w:vAlign w:val="bottom"/>
            <w:hideMark/>
          </w:tcPr>
          <w:p w14:paraId="62618D8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1 572</w:t>
            </w:r>
          </w:p>
        </w:tc>
        <w:tc>
          <w:tcPr>
            <w:tcW w:w="624" w:type="dxa"/>
            <w:tcBorders>
              <w:top w:val="nil"/>
              <w:left w:val="nil"/>
              <w:bottom w:val="single" w:sz="4" w:space="0" w:color="auto"/>
              <w:right w:val="single" w:sz="4" w:space="0" w:color="auto"/>
            </w:tcBorders>
            <w:shd w:val="clear" w:color="auto" w:fill="auto"/>
            <w:noWrap/>
            <w:vAlign w:val="bottom"/>
            <w:hideMark/>
          </w:tcPr>
          <w:p w14:paraId="537EBF2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1 736</w:t>
            </w:r>
          </w:p>
        </w:tc>
        <w:tc>
          <w:tcPr>
            <w:tcW w:w="624" w:type="dxa"/>
            <w:tcBorders>
              <w:top w:val="nil"/>
              <w:left w:val="nil"/>
              <w:bottom w:val="single" w:sz="4" w:space="0" w:color="auto"/>
              <w:right w:val="single" w:sz="4" w:space="0" w:color="auto"/>
            </w:tcBorders>
            <w:shd w:val="clear" w:color="auto" w:fill="auto"/>
            <w:noWrap/>
            <w:vAlign w:val="bottom"/>
            <w:hideMark/>
          </w:tcPr>
          <w:p w14:paraId="4077BF2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1 771</w:t>
            </w:r>
          </w:p>
        </w:tc>
        <w:tc>
          <w:tcPr>
            <w:tcW w:w="624" w:type="dxa"/>
            <w:tcBorders>
              <w:top w:val="nil"/>
              <w:left w:val="nil"/>
              <w:bottom w:val="single" w:sz="4" w:space="0" w:color="auto"/>
              <w:right w:val="single" w:sz="4" w:space="0" w:color="auto"/>
            </w:tcBorders>
            <w:shd w:val="clear" w:color="auto" w:fill="auto"/>
            <w:noWrap/>
            <w:vAlign w:val="bottom"/>
            <w:hideMark/>
          </w:tcPr>
          <w:p w14:paraId="4CEC939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1 667</w:t>
            </w:r>
          </w:p>
        </w:tc>
        <w:tc>
          <w:tcPr>
            <w:tcW w:w="624" w:type="dxa"/>
            <w:tcBorders>
              <w:top w:val="nil"/>
              <w:left w:val="nil"/>
              <w:bottom w:val="single" w:sz="4" w:space="0" w:color="auto"/>
              <w:right w:val="single" w:sz="4" w:space="0" w:color="auto"/>
            </w:tcBorders>
            <w:shd w:val="clear" w:color="auto" w:fill="auto"/>
            <w:noWrap/>
            <w:vAlign w:val="bottom"/>
            <w:hideMark/>
          </w:tcPr>
          <w:p w14:paraId="2AE77EB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1 742</w:t>
            </w:r>
          </w:p>
        </w:tc>
        <w:tc>
          <w:tcPr>
            <w:tcW w:w="624" w:type="dxa"/>
            <w:tcBorders>
              <w:top w:val="nil"/>
              <w:left w:val="nil"/>
              <w:bottom w:val="single" w:sz="4" w:space="0" w:color="auto"/>
              <w:right w:val="single" w:sz="4" w:space="0" w:color="auto"/>
            </w:tcBorders>
            <w:shd w:val="clear" w:color="auto" w:fill="auto"/>
            <w:noWrap/>
            <w:vAlign w:val="bottom"/>
            <w:hideMark/>
          </w:tcPr>
          <w:p w14:paraId="0DF62C4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1 671</w:t>
            </w:r>
          </w:p>
        </w:tc>
        <w:tc>
          <w:tcPr>
            <w:tcW w:w="624" w:type="dxa"/>
            <w:tcBorders>
              <w:top w:val="nil"/>
              <w:left w:val="nil"/>
              <w:bottom w:val="single" w:sz="4" w:space="0" w:color="auto"/>
              <w:right w:val="single" w:sz="4" w:space="0" w:color="auto"/>
            </w:tcBorders>
            <w:shd w:val="clear" w:color="auto" w:fill="auto"/>
            <w:noWrap/>
            <w:vAlign w:val="bottom"/>
            <w:hideMark/>
          </w:tcPr>
          <w:p w14:paraId="380D267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1 611</w:t>
            </w:r>
          </w:p>
        </w:tc>
        <w:tc>
          <w:tcPr>
            <w:tcW w:w="624" w:type="dxa"/>
            <w:tcBorders>
              <w:top w:val="nil"/>
              <w:left w:val="nil"/>
              <w:bottom w:val="single" w:sz="4" w:space="0" w:color="auto"/>
              <w:right w:val="single" w:sz="4" w:space="0" w:color="auto"/>
            </w:tcBorders>
            <w:shd w:val="clear" w:color="auto" w:fill="auto"/>
            <w:noWrap/>
            <w:vAlign w:val="bottom"/>
            <w:hideMark/>
          </w:tcPr>
          <w:p w14:paraId="6B895D1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1 465</w:t>
            </w:r>
          </w:p>
        </w:tc>
        <w:tc>
          <w:tcPr>
            <w:tcW w:w="624" w:type="dxa"/>
            <w:tcBorders>
              <w:top w:val="nil"/>
              <w:left w:val="nil"/>
              <w:bottom w:val="single" w:sz="4" w:space="0" w:color="auto"/>
              <w:right w:val="single" w:sz="4" w:space="0" w:color="auto"/>
            </w:tcBorders>
            <w:shd w:val="clear" w:color="auto" w:fill="auto"/>
            <w:noWrap/>
            <w:vAlign w:val="bottom"/>
            <w:hideMark/>
          </w:tcPr>
          <w:p w14:paraId="0FC48470"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1 489</w:t>
            </w:r>
          </w:p>
        </w:tc>
        <w:tc>
          <w:tcPr>
            <w:tcW w:w="624" w:type="dxa"/>
            <w:tcBorders>
              <w:top w:val="nil"/>
              <w:left w:val="nil"/>
              <w:bottom w:val="single" w:sz="4" w:space="0" w:color="auto"/>
              <w:right w:val="single" w:sz="4" w:space="0" w:color="auto"/>
            </w:tcBorders>
            <w:shd w:val="clear" w:color="auto" w:fill="auto"/>
            <w:noWrap/>
            <w:vAlign w:val="bottom"/>
            <w:hideMark/>
          </w:tcPr>
          <w:p w14:paraId="01196AC6"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1 478</w:t>
            </w:r>
          </w:p>
        </w:tc>
      </w:tr>
      <w:tr w:rsidR="001C31BE" w:rsidRPr="001C31BE" w14:paraId="1BC37310"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824D7B9"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SI</w:t>
            </w:r>
          </w:p>
        </w:tc>
        <w:tc>
          <w:tcPr>
            <w:tcW w:w="624" w:type="dxa"/>
            <w:tcBorders>
              <w:top w:val="nil"/>
              <w:left w:val="nil"/>
              <w:bottom w:val="single" w:sz="4" w:space="0" w:color="auto"/>
              <w:right w:val="single" w:sz="4" w:space="0" w:color="auto"/>
            </w:tcBorders>
            <w:shd w:val="clear" w:color="auto" w:fill="auto"/>
            <w:noWrap/>
            <w:vAlign w:val="bottom"/>
            <w:hideMark/>
          </w:tcPr>
          <w:p w14:paraId="3874B94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2 308</w:t>
            </w:r>
          </w:p>
        </w:tc>
        <w:tc>
          <w:tcPr>
            <w:tcW w:w="624" w:type="dxa"/>
            <w:tcBorders>
              <w:top w:val="nil"/>
              <w:left w:val="nil"/>
              <w:bottom w:val="single" w:sz="4" w:space="0" w:color="auto"/>
              <w:right w:val="single" w:sz="4" w:space="0" w:color="auto"/>
            </w:tcBorders>
            <w:shd w:val="clear" w:color="auto" w:fill="auto"/>
            <w:noWrap/>
            <w:vAlign w:val="bottom"/>
            <w:hideMark/>
          </w:tcPr>
          <w:p w14:paraId="70F500B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2 552</w:t>
            </w:r>
          </w:p>
        </w:tc>
        <w:tc>
          <w:tcPr>
            <w:tcW w:w="624" w:type="dxa"/>
            <w:tcBorders>
              <w:top w:val="nil"/>
              <w:left w:val="nil"/>
              <w:bottom w:val="single" w:sz="4" w:space="0" w:color="auto"/>
              <w:right w:val="single" w:sz="4" w:space="0" w:color="auto"/>
            </w:tcBorders>
            <w:shd w:val="clear" w:color="auto" w:fill="auto"/>
            <w:noWrap/>
            <w:vAlign w:val="bottom"/>
            <w:hideMark/>
          </w:tcPr>
          <w:p w14:paraId="0228FBC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2 625</w:t>
            </w:r>
          </w:p>
        </w:tc>
        <w:tc>
          <w:tcPr>
            <w:tcW w:w="624" w:type="dxa"/>
            <w:tcBorders>
              <w:top w:val="nil"/>
              <w:left w:val="nil"/>
              <w:bottom w:val="single" w:sz="4" w:space="0" w:color="auto"/>
              <w:right w:val="single" w:sz="4" w:space="0" w:color="auto"/>
            </w:tcBorders>
            <w:shd w:val="clear" w:color="auto" w:fill="auto"/>
            <w:noWrap/>
            <w:vAlign w:val="bottom"/>
            <w:hideMark/>
          </w:tcPr>
          <w:p w14:paraId="794F6A23"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2 741</w:t>
            </w:r>
          </w:p>
        </w:tc>
        <w:tc>
          <w:tcPr>
            <w:tcW w:w="624" w:type="dxa"/>
            <w:tcBorders>
              <w:top w:val="nil"/>
              <w:left w:val="nil"/>
              <w:bottom w:val="single" w:sz="4" w:space="0" w:color="auto"/>
              <w:right w:val="single" w:sz="4" w:space="0" w:color="auto"/>
            </w:tcBorders>
            <w:shd w:val="clear" w:color="auto" w:fill="auto"/>
            <w:noWrap/>
            <w:vAlign w:val="bottom"/>
            <w:hideMark/>
          </w:tcPr>
          <w:p w14:paraId="76A7BC0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2 804</w:t>
            </w:r>
          </w:p>
        </w:tc>
        <w:tc>
          <w:tcPr>
            <w:tcW w:w="624" w:type="dxa"/>
            <w:tcBorders>
              <w:top w:val="nil"/>
              <w:left w:val="nil"/>
              <w:bottom w:val="single" w:sz="4" w:space="0" w:color="auto"/>
              <w:right w:val="single" w:sz="4" w:space="0" w:color="auto"/>
            </w:tcBorders>
            <w:shd w:val="clear" w:color="auto" w:fill="auto"/>
            <w:noWrap/>
            <w:vAlign w:val="bottom"/>
            <w:hideMark/>
          </w:tcPr>
          <w:p w14:paraId="1BE6088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2 916</w:t>
            </w:r>
          </w:p>
        </w:tc>
        <w:tc>
          <w:tcPr>
            <w:tcW w:w="624" w:type="dxa"/>
            <w:tcBorders>
              <w:top w:val="nil"/>
              <w:left w:val="nil"/>
              <w:bottom w:val="single" w:sz="4" w:space="0" w:color="auto"/>
              <w:right w:val="single" w:sz="4" w:space="0" w:color="auto"/>
            </w:tcBorders>
            <w:shd w:val="clear" w:color="auto" w:fill="auto"/>
            <w:noWrap/>
            <w:vAlign w:val="bottom"/>
            <w:hideMark/>
          </w:tcPr>
          <w:p w14:paraId="62E1F9B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3 041</w:t>
            </w:r>
          </w:p>
        </w:tc>
        <w:tc>
          <w:tcPr>
            <w:tcW w:w="624" w:type="dxa"/>
            <w:tcBorders>
              <w:top w:val="nil"/>
              <w:left w:val="nil"/>
              <w:bottom w:val="single" w:sz="4" w:space="0" w:color="auto"/>
              <w:right w:val="single" w:sz="4" w:space="0" w:color="auto"/>
            </w:tcBorders>
            <w:shd w:val="clear" w:color="auto" w:fill="auto"/>
            <w:noWrap/>
            <w:vAlign w:val="bottom"/>
            <w:hideMark/>
          </w:tcPr>
          <w:p w14:paraId="1236813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3 062</w:t>
            </w:r>
          </w:p>
        </w:tc>
        <w:tc>
          <w:tcPr>
            <w:tcW w:w="624" w:type="dxa"/>
            <w:tcBorders>
              <w:top w:val="nil"/>
              <w:left w:val="nil"/>
              <w:bottom w:val="single" w:sz="4" w:space="0" w:color="auto"/>
              <w:right w:val="single" w:sz="4" w:space="0" w:color="auto"/>
            </w:tcBorders>
            <w:shd w:val="clear" w:color="auto" w:fill="auto"/>
            <w:noWrap/>
            <w:vAlign w:val="bottom"/>
            <w:hideMark/>
          </w:tcPr>
          <w:p w14:paraId="500794E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3 142</w:t>
            </w:r>
          </w:p>
        </w:tc>
        <w:tc>
          <w:tcPr>
            <w:tcW w:w="624" w:type="dxa"/>
            <w:tcBorders>
              <w:top w:val="nil"/>
              <w:left w:val="nil"/>
              <w:bottom w:val="single" w:sz="4" w:space="0" w:color="auto"/>
              <w:right w:val="single" w:sz="4" w:space="0" w:color="auto"/>
            </w:tcBorders>
            <w:shd w:val="clear" w:color="auto" w:fill="auto"/>
            <w:noWrap/>
            <w:vAlign w:val="bottom"/>
            <w:hideMark/>
          </w:tcPr>
          <w:p w14:paraId="4DE8937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3 397</w:t>
            </w:r>
          </w:p>
        </w:tc>
        <w:tc>
          <w:tcPr>
            <w:tcW w:w="624" w:type="dxa"/>
            <w:tcBorders>
              <w:top w:val="nil"/>
              <w:left w:val="nil"/>
              <w:bottom w:val="single" w:sz="4" w:space="0" w:color="auto"/>
              <w:right w:val="single" w:sz="4" w:space="0" w:color="auto"/>
            </w:tcBorders>
            <w:shd w:val="clear" w:color="auto" w:fill="auto"/>
            <w:noWrap/>
            <w:vAlign w:val="bottom"/>
            <w:hideMark/>
          </w:tcPr>
          <w:p w14:paraId="6E6F5BB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3 503</w:t>
            </w:r>
          </w:p>
        </w:tc>
        <w:tc>
          <w:tcPr>
            <w:tcW w:w="624" w:type="dxa"/>
            <w:tcBorders>
              <w:top w:val="nil"/>
              <w:left w:val="nil"/>
              <w:bottom w:val="single" w:sz="4" w:space="0" w:color="auto"/>
              <w:right w:val="single" w:sz="4" w:space="0" w:color="auto"/>
            </w:tcBorders>
            <w:shd w:val="clear" w:color="auto" w:fill="auto"/>
            <w:noWrap/>
            <w:vAlign w:val="bottom"/>
            <w:hideMark/>
          </w:tcPr>
          <w:p w14:paraId="411E102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3 938</w:t>
            </w:r>
          </w:p>
        </w:tc>
        <w:tc>
          <w:tcPr>
            <w:tcW w:w="624" w:type="dxa"/>
            <w:tcBorders>
              <w:top w:val="nil"/>
              <w:left w:val="nil"/>
              <w:bottom w:val="single" w:sz="4" w:space="0" w:color="auto"/>
              <w:right w:val="single" w:sz="4" w:space="0" w:color="auto"/>
            </w:tcBorders>
            <w:shd w:val="clear" w:color="auto" w:fill="auto"/>
            <w:noWrap/>
            <w:vAlign w:val="bottom"/>
            <w:hideMark/>
          </w:tcPr>
          <w:p w14:paraId="395ED3D4"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3 409</w:t>
            </w:r>
          </w:p>
        </w:tc>
        <w:tc>
          <w:tcPr>
            <w:tcW w:w="624" w:type="dxa"/>
            <w:tcBorders>
              <w:top w:val="nil"/>
              <w:left w:val="nil"/>
              <w:bottom w:val="single" w:sz="4" w:space="0" w:color="auto"/>
              <w:right w:val="single" w:sz="4" w:space="0" w:color="auto"/>
            </w:tcBorders>
            <w:shd w:val="clear" w:color="auto" w:fill="auto"/>
            <w:noWrap/>
            <w:vAlign w:val="bottom"/>
            <w:hideMark/>
          </w:tcPr>
          <w:p w14:paraId="05F14B2E"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3 392</w:t>
            </w:r>
          </w:p>
        </w:tc>
        <w:tc>
          <w:tcPr>
            <w:tcW w:w="624" w:type="dxa"/>
            <w:tcBorders>
              <w:top w:val="nil"/>
              <w:left w:val="nil"/>
              <w:bottom w:val="single" w:sz="4" w:space="0" w:color="auto"/>
              <w:right w:val="single" w:sz="4" w:space="0" w:color="auto"/>
            </w:tcBorders>
            <w:shd w:val="clear" w:color="auto" w:fill="auto"/>
            <w:noWrap/>
            <w:vAlign w:val="bottom"/>
            <w:hideMark/>
          </w:tcPr>
          <w:p w14:paraId="14DDCB0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3 506</w:t>
            </w:r>
          </w:p>
        </w:tc>
      </w:tr>
      <w:tr w:rsidR="001C31BE" w:rsidRPr="001C31BE" w14:paraId="6FDED545" w14:textId="77777777" w:rsidTr="00125C6E">
        <w:trPr>
          <w:trHeight w:val="290"/>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421EF46" w14:textId="77777777" w:rsidR="001C31BE" w:rsidRPr="001C31BE" w:rsidRDefault="001C31BE" w:rsidP="001C31BE">
            <w:pPr>
              <w:spacing w:after="0" w:line="240" w:lineRule="auto"/>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UA</w:t>
            </w:r>
          </w:p>
        </w:tc>
        <w:tc>
          <w:tcPr>
            <w:tcW w:w="624" w:type="dxa"/>
            <w:tcBorders>
              <w:top w:val="nil"/>
              <w:left w:val="nil"/>
              <w:bottom w:val="single" w:sz="4" w:space="0" w:color="auto"/>
              <w:right w:val="single" w:sz="4" w:space="0" w:color="auto"/>
            </w:tcBorders>
            <w:shd w:val="clear" w:color="auto" w:fill="auto"/>
            <w:noWrap/>
            <w:vAlign w:val="bottom"/>
            <w:hideMark/>
          </w:tcPr>
          <w:p w14:paraId="14E52EB1"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202</w:t>
            </w:r>
          </w:p>
        </w:tc>
        <w:tc>
          <w:tcPr>
            <w:tcW w:w="624" w:type="dxa"/>
            <w:tcBorders>
              <w:top w:val="nil"/>
              <w:left w:val="nil"/>
              <w:bottom w:val="single" w:sz="4" w:space="0" w:color="auto"/>
              <w:right w:val="single" w:sz="4" w:space="0" w:color="auto"/>
            </w:tcBorders>
            <w:shd w:val="clear" w:color="auto" w:fill="auto"/>
            <w:noWrap/>
            <w:vAlign w:val="bottom"/>
            <w:hideMark/>
          </w:tcPr>
          <w:p w14:paraId="373D031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223</w:t>
            </w:r>
          </w:p>
        </w:tc>
        <w:tc>
          <w:tcPr>
            <w:tcW w:w="624" w:type="dxa"/>
            <w:tcBorders>
              <w:top w:val="nil"/>
              <w:left w:val="nil"/>
              <w:bottom w:val="single" w:sz="4" w:space="0" w:color="auto"/>
              <w:right w:val="single" w:sz="4" w:space="0" w:color="auto"/>
            </w:tcBorders>
            <w:shd w:val="clear" w:color="auto" w:fill="auto"/>
            <w:noWrap/>
            <w:vAlign w:val="bottom"/>
            <w:hideMark/>
          </w:tcPr>
          <w:p w14:paraId="3AAD159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235</w:t>
            </w:r>
          </w:p>
        </w:tc>
        <w:tc>
          <w:tcPr>
            <w:tcW w:w="624" w:type="dxa"/>
            <w:tcBorders>
              <w:top w:val="nil"/>
              <w:left w:val="nil"/>
              <w:bottom w:val="single" w:sz="4" w:space="0" w:color="auto"/>
              <w:right w:val="single" w:sz="4" w:space="0" w:color="auto"/>
            </w:tcBorders>
            <w:shd w:val="clear" w:color="auto" w:fill="auto"/>
            <w:noWrap/>
            <w:vAlign w:val="bottom"/>
            <w:hideMark/>
          </w:tcPr>
          <w:p w14:paraId="1D2272E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253</w:t>
            </w:r>
          </w:p>
        </w:tc>
        <w:tc>
          <w:tcPr>
            <w:tcW w:w="624" w:type="dxa"/>
            <w:tcBorders>
              <w:top w:val="nil"/>
              <w:left w:val="nil"/>
              <w:bottom w:val="single" w:sz="4" w:space="0" w:color="auto"/>
              <w:right w:val="single" w:sz="4" w:space="0" w:color="auto"/>
            </w:tcBorders>
            <w:shd w:val="clear" w:color="auto" w:fill="auto"/>
            <w:noWrap/>
            <w:vAlign w:val="bottom"/>
            <w:hideMark/>
          </w:tcPr>
          <w:p w14:paraId="4D9F36CD"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274</w:t>
            </w:r>
          </w:p>
        </w:tc>
        <w:tc>
          <w:tcPr>
            <w:tcW w:w="624" w:type="dxa"/>
            <w:tcBorders>
              <w:top w:val="nil"/>
              <w:left w:val="nil"/>
              <w:bottom w:val="single" w:sz="4" w:space="0" w:color="auto"/>
              <w:right w:val="single" w:sz="4" w:space="0" w:color="auto"/>
            </w:tcBorders>
            <w:shd w:val="clear" w:color="auto" w:fill="auto"/>
            <w:noWrap/>
            <w:vAlign w:val="bottom"/>
            <w:hideMark/>
          </w:tcPr>
          <w:p w14:paraId="70062E5C"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280</w:t>
            </w:r>
          </w:p>
        </w:tc>
        <w:tc>
          <w:tcPr>
            <w:tcW w:w="624" w:type="dxa"/>
            <w:tcBorders>
              <w:top w:val="nil"/>
              <w:left w:val="nil"/>
              <w:bottom w:val="single" w:sz="4" w:space="0" w:color="auto"/>
              <w:right w:val="single" w:sz="4" w:space="0" w:color="auto"/>
            </w:tcBorders>
            <w:shd w:val="clear" w:color="auto" w:fill="auto"/>
            <w:noWrap/>
            <w:vAlign w:val="bottom"/>
            <w:hideMark/>
          </w:tcPr>
          <w:p w14:paraId="382D8219"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298</w:t>
            </w:r>
          </w:p>
        </w:tc>
        <w:tc>
          <w:tcPr>
            <w:tcW w:w="624" w:type="dxa"/>
            <w:tcBorders>
              <w:top w:val="nil"/>
              <w:left w:val="nil"/>
              <w:bottom w:val="single" w:sz="4" w:space="0" w:color="auto"/>
              <w:right w:val="single" w:sz="4" w:space="0" w:color="auto"/>
            </w:tcBorders>
            <w:shd w:val="clear" w:color="auto" w:fill="auto"/>
            <w:noWrap/>
            <w:vAlign w:val="bottom"/>
            <w:hideMark/>
          </w:tcPr>
          <w:p w14:paraId="44E4CA87"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343</w:t>
            </w:r>
          </w:p>
        </w:tc>
        <w:tc>
          <w:tcPr>
            <w:tcW w:w="624" w:type="dxa"/>
            <w:tcBorders>
              <w:top w:val="nil"/>
              <w:left w:val="nil"/>
              <w:bottom w:val="single" w:sz="4" w:space="0" w:color="auto"/>
              <w:right w:val="single" w:sz="4" w:space="0" w:color="auto"/>
            </w:tcBorders>
            <w:shd w:val="clear" w:color="auto" w:fill="auto"/>
            <w:noWrap/>
            <w:vAlign w:val="bottom"/>
            <w:hideMark/>
          </w:tcPr>
          <w:p w14:paraId="183A87E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354</w:t>
            </w:r>
          </w:p>
        </w:tc>
        <w:tc>
          <w:tcPr>
            <w:tcW w:w="624" w:type="dxa"/>
            <w:tcBorders>
              <w:top w:val="nil"/>
              <w:left w:val="nil"/>
              <w:bottom w:val="single" w:sz="4" w:space="0" w:color="auto"/>
              <w:right w:val="single" w:sz="4" w:space="0" w:color="auto"/>
            </w:tcBorders>
            <w:shd w:val="clear" w:color="auto" w:fill="auto"/>
            <w:noWrap/>
            <w:vAlign w:val="bottom"/>
            <w:hideMark/>
          </w:tcPr>
          <w:p w14:paraId="187C106B"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364</w:t>
            </w:r>
          </w:p>
        </w:tc>
        <w:tc>
          <w:tcPr>
            <w:tcW w:w="624" w:type="dxa"/>
            <w:tcBorders>
              <w:top w:val="nil"/>
              <w:left w:val="nil"/>
              <w:bottom w:val="single" w:sz="4" w:space="0" w:color="auto"/>
              <w:right w:val="single" w:sz="4" w:space="0" w:color="auto"/>
            </w:tcBorders>
            <w:shd w:val="clear" w:color="auto" w:fill="auto"/>
            <w:noWrap/>
            <w:vAlign w:val="bottom"/>
            <w:hideMark/>
          </w:tcPr>
          <w:p w14:paraId="6A8EA37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402</w:t>
            </w:r>
          </w:p>
        </w:tc>
        <w:tc>
          <w:tcPr>
            <w:tcW w:w="624" w:type="dxa"/>
            <w:tcBorders>
              <w:top w:val="nil"/>
              <w:left w:val="nil"/>
              <w:bottom w:val="single" w:sz="4" w:space="0" w:color="auto"/>
              <w:right w:val="single" w:sz="4" w:space="0" w:color="auto"/>
            </w:tcBorders>
            <w:shd w:val="clear" w:color="auto" w:fill="auto"/>
            <w:noWrap/>
            <w:vAlign w:val="bottom"/>
            <w:hideMark/>
          </w:tcPr>
          <w:p w14:paraId="7D233C0A"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388</w:t>
            </w:r>
          </w:p>
        </w:tc>
        <w:tc>
          <w:tcPr>
            <w:tcW w:w="624" w:type="dxa"/>
            <w:tcBorders>
              <w:top w:val="nil"/>
              <w:left w:val="nil"/>
              <w:bottom w:val="single" w:sz="4" w:space="0" w:color="auto"/>
              <w:right w:val="single" w:sz="4" w:space="0" w:color="auto"/>
            </w:tcBorders>
            <w:shd w:val="clear" w:color="auto" w:fill="auto"/>
            <w:noWrap/>
            <w:vAlign w:val="bottom"/>
            <w:hideMark/>
          </w:tcPr>
          <w:p w14:paraId="4BC343F8"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375</w:t>
            </w:r>
          </w:p>
        </w:tc>
        <w:tc>
          <w:tcPr>
            <w:tcW w:w="624" w:type="dxa"/>
            <w:tcBorders>
              <w:top w:val="nil"/>
              <w:left w:val="nil"/>
              <w:bottom w:val="single" w:sz="4" w:space="0" w:color="auto"/>
              <w:right w:val="single" w:sz="4" w:space="0" w:color="auto"/>
            </w:tcBorders>
            <w:shd w:val="clear" w:color="auto" w:fill="auto"/>
            <w:noWrap/>
            <w:vAlign w:val="bottom"/>
            <w:hideMark/>
          </w:tcPr>
          <w:p w14:paraId="1D135025"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343</w:t>
            </w:r>
          </w:p>
        </w:tc>
        <w:tc>
          <w:tcPr>
            <w:tcW w:w="624" w:type="dxa"/>
            <w:tcBorders>
              <w:top w:val="nil"/>
              <w:left w:val="nil"/>
              <w:bottom w:val="single" w:sz="4" w:space="0" w:color="auto"/>
              <w:right w:val="single" w:sz="4" w:space="0" w:color="auto"/>
            </w:tcBorders>
            <w:shd w:val="clear" w:color="auto" w:fill="auto"/>
            <w:noWrap/>
            <w:vAlign w:val="bottom"/>
            <w:hideMark/>
          </w:tcPr>
          <w:p w14:paraId="08F6671F" w14:textId="77777777" w:rsidR="001C31BE" w:rsidRPr="001C31BE" w:rsidRDefault="001C31BE" w:rsidP="001C31BE">
            <w:pPr>
              <w:spacing w:after="0" w:line="240" w:lineRule="auto"/>
              <w:jc w:val="right"/>
              <w:rPr>
                <w:rFonts w:ascii="Aptos Narrow" w:eastAsia="Times New Roman" w:hAnsi="Aptos Narrow" w:cs="Times New Roman"/>
                <w:color w:val="000000"/>
                <w:sz w:val="18"/>
                <w:szCs w:val="18"/>
                <w:lang w:eastAsia="sk-SK"/>
              </w:rPr>
            </w:pPr>
            <w:r w:rsidRPr="001C31BE">
              <w:rPr>
                <w:rFonts w:ascii="Aptos Narrow" w:eastAsia="Times New Roman" w:hAnsi="Aptos Narrow" w:cs="Times New Roman"/>
                <w:color w:val="000000"/>
                <w:sz w:val="18"/>
                <w:szCs w:val="18"/>
                <w:lang w:eastAsia="sk-SK"/>
              </w:rPr>
              <w:t>331</w:t>
            </w:r>
          </w:p>
        </w:tc>
      </w:tr>
    </w:tbl>
    <w:p w14:paraId="1A116EB7" w14:textId="265CA870" w:rsidR="00E9733F" w:rsidRDefault="006740EB" w:rsidP="003D2FD9">
      <w:pPr>
        <w:jc w:val="right"/>
      </w:pPr>
      <w:r w:rsidRPr="002E7249">
        <w:rPr>
          <w:rStyle w:val="normaltextrun"/>
          <w:rFonts w:ascii="Calibri" w:hAnsi="Calibri" w:cs="Calibri"/>
          <w:i/>
          <w:iCs/>
          <w:color w:val="000000"/>
          <w:sz w:val="20"/>
          <w:szCs w:val="20"/>
          <w:shd w:val="clear" w:color="auto" w:fill="FFFFFF"/>
          <w:lang w:val="en-GB"/>
        </w:rPr>
        <w:t xml:space="preserve">Data: </w:t>
      </w:r>
      <w:proofErr w:type="spellStart"/>
      <w:r w:rsidRPr="002E7249">
        <w:rPr>
          <w:rStyle w:val="spellingerror"/>
          <w:rFonts w:ascii="Calibri" w:hAnsi="Calibri" w:cs="Calibri"/>
          <w:i/>
          <w:iCs/>
          <w:color w:val="000000"/>
          <w:sz w:val="20"/>
          <w:szCs w:val="20"/>
          <w:shd w:val="clear" w:color="auto" w:fill="FFFFFF"/>
          <w:lang w:val="en-GB"/>
        </w:rPr>
        <w:t>InCites</w:t>
      </w:r>
      <w:proofErr w:type="spellEnd"/>
    </w:p>
    <w:p w14:paraId="6B95BCE5" w14:textId="77777777" w:rsidR="004925EA" w:rsidRDefault="004925EA" w:rsidP="00DF0269">
      <w:pPr>
        <w:jc w:val="both"/>
      </w:pPr>
    </w:p>
    <w:p w14:paraId="4670A2E5" w14:textId="4C659E62" w:rsidR="006E63A8" w:rsidRPr="00701FE7" w:rsidRDefault="004925EA" w:rsidP="00DF0269">
      <w:pPr>
        <w:jc w:val="both"/>
        <w:rPr>
          <w:lang w:val="en-GB"/>
        </w:rPr>
      </w:pPr>
      <w:r w:rsidRPr="004925EA">
        <w:rPr>
          <w:lang w:val="en-GB"/>
        </w:rPr>
        <w:t>The highest growth in the number of scientific publications in 2024 compared to 2010 was recorded in Montenegro, with an increase of 173.7%, followed by Bosnia and Herzegovina (97.3%) and Bulgaria (86.2%). In contrast, the lowest growth was observed in Moldova (20.9%), Romania (30.7%), and the Czech Republic (33.7%). On a positive note, the number of publications has increased across the entire region, with an average growth rate of 35.9%.</w:t>
      </w:r>
    </w:p>
    <w:p w14:paraId="6D0AFC3E" w14:textId="11EA7F4A" w:rsidR="00FE761C" w:rsidRDefault="00FE761C" w:rsidP="00FE761C">
      <w:pPr>
        <w:pStyle w:val="Popis"/>
        <w:keepNext/>
        <w:spacing w:after="0"/>
        <w:jc w:val="both"/>
        <w:rPr>
          <w:b/>
          <w:bCs/>
          <w:i w:val="0"/>
          <w:iCs w:val="0"/>
          <w:color w:val="auto"/>
          <w:sz w:val="20"/>
          <w:szCs w:val="20"/>
        </w:rPr>
      </w:pPr>
      <w:bookmarkStart w:id="44" w:name="_Toc202166651"/>
      <w:proofErr w:type="spellStart"/>
      <w:r w:rsidRPr="00FE761C">
        <w:rPr>
          <w:b/>
          <w:bCs/>
          <w:i w:val="0"/>
          <w:iCs w:val="0"/>
          <w:color w:val="auto"/>
          <w:sz w:val="20"/>
          <w:szCs w:val="20"/>
        </w:rPr>
        <w:t>Graph</w:t>
      </w:r>
      <w:proofErr w:type="spellEnd"/>
      <w:r w:rsidRPr="00FE761C">
        <w:rPr>
          <w:b/>
          <w:bCs/>
          <w:i w:val="0"/>
          <w:iCs w:val="0"/>
          <w:color w:val="auto"/>
          <w:sz w:val="20"/>
          <w:szCs w:val="20"/>
        </w:rPr>
        <w:t xml:space="preserve">  </w:t>
      </w:r>
      <w:r w:rsidRPr="00FE761C">
        <w:rPr>
          <w:b/>
          <w:bCs/>
          <w:i w:val="0"/>
          <w:iCs w:val="0"/>
          <w:color w:val="auto"/>
          <w:sz w:val="20"/>
          <w:szCs w:val="20"/>
        </w:rPr>
        <w:fldChar w:fldCharType="begin"/>
      </w:r>
      <w:r w:rsidRPr="00FE761C">
        <w:rPr>
          <w:b/>
          <w:bCs/>
          <w:i w:val="0"/>
          <w:iCs w:val="0"/>
          <w:color w:val="auto"/>
          <w:sz w:val="20"/>
          <w:szCs w:val="20"/>
        </w:rPr>
        <w:instrText xml:space="preserve"> SEQ Graph_ \* ARABIC </w:instrText>
      </w:r>
      <w:r w:rsidRPr="00FE761C">
        <w:rPr>
          <w:b/>
          <w:bCs/>
          <w:i w:val="0"/>
          <w:iCs w:val="0"/>
          <w:color w:val="auto"/>
          <w:sz w:val="20"/>
          <w:szCs w:val="20"/>
        </w:rPr>
        <w:fldChar w:fldCharType="separate"/>
      </w:r>
      <w:r w:rsidRPr="00FE761C">
        <w:rPr>
          <w:b/>
          <w:bCs/>
          <w:i w:val="0"/>
          <w:iCs w:val="0"/>
          <w:color w:val="auto"/>
          <w:sz w:val="20"/>
          <w:szCs w:val="20"/>
        </w:rPr>
        <w:t>21</w:t>
      </w:r>
      <w:r w:rsidRPr="00FE761C">
        <w:rPr>
          <w:b/>
          <w:bCs/>
          <w:i w:val="0"/>
          <w:iCs w:val="0"/>
          <w:color w:val="auto"/>
          <w:sz w:val="20"/>
          <w:szCs w:val="20"/>
        </w:rPr>
        <w:fldChar w:fldCharType="end"/>
      </w:r>
      <w:r w:rsidRPr="00FE761C">
        <w:rPr>
          <w:b/>
          <w:bCs/>
          <w:i w:val="0"/>
          <w:iCs w:val="0"/>
          <w:color w:val="auto"/>
          <w:sz w:val="20"/>
          <w:szCs w:val="20"/>
        </w:rPr>
        <w:t xml:space="preserve"> </w:t>
      </w:r>
      <w:proofErr w:type="spellStart"/>
      <w:r w:rsidRPr="00FE761C">
        <w:rPr>
          <w:b/>
          <w:bCs/>
          <w:i w:val="0"/>
          <w:iCs w:val="0"/>
          <w:color w:val="auto"/>
          <w:sz w:val="20"/>
          <w:szCs w:val="20"/>
        </w:rPr>
        <w:t>Number</w:t>
      </w:r>
      <w:proofErr w:type="spellEnd"/>
      <w:r w:rsidRPr="00FE761C">
        <w:rPr>
          <w:b/>
          <w:bCs/>
          <w:i w:val="0"/>
          <w:iCs w:val="0"/>
          <w:color w:val="auto"/>
          <w:sz w:val="20"/>
          <w:szCs w:val="20"/>
        </w:rPr>
        <w:t xml:space="preserve"> of </w:t>
      </w:r>
      <w:proofErr w:type="spellStart"/>
      <w:r w:rsidRPr="00FE761C">
        <w:rPr>
          <w:b/>
          <w:bCs/>
          <w:i w:val="0"/>
          <w:iCs w:val="0"/>
          <w:color w:val="auto"/>
          <w:sz w:val="20"/>
          <w:szCs w:val="20"/>
        </w:rPr>
        <w:t>publication</w:t>
      </w:r>
      <w:proofErr w:type="spellEnd"/>
      <w:r w:rsidRPr="00FE761C">
        <w:rPr>
          <w:b/>
          <w:bCs/>
          <w:i w:val="0"/>
          <w:iCs w:val="0"/>
          <w:color w:val="auto"/>
          <w:sz w:val="20"/>
          <w:szCs w:val="20"/>
        </w:rPr>
        <w:t xml:space="preserve"> and </w:t>
      </w:r>
      <w:proofErr w:type="spellStart"/>
      <w:r w:rsidRPr="00FE761C">
        <w:rPr>
          <w:b/>
          <w:bCs/>
          <w:i w:val="0"/>
          <w:iCs w:val="0"/>
          <w:color w:val="auto"/>
          <w:sz w:val="20"/>
          <w:szCs w:val="20"/>
        </w:rPr>
        <w:t>growth</w:t>
      </w:r>
      <w:proofErr w:type="spellEnd"/>
      <w:r w:rsidRPr="00FE761C">
        <w:rPr>
          <w:b/>
          <w:bCs/>
          <w:i w:val="0"/>
          <w:iCs w:val="0"/>
          <w:color w:val="auto"/>
          <w:sz w:val="20"/>
          <w:szCs w:val="20"/>
        </w:rPr>
        <w:t xml:space="preserve"> by country </w:t>
      </w:r>
      <w:proofErr w:type="spellStart"/>
      <w:r w:rsidRPr="00FE761C">
        <w:rPr>
          <w:b/>
          <w:bCs/>
          <w:i w:val="0"/>
          <w:iCs w:val="0"/>
          <w:color w:val="auto"/>
          <w:sz w:val="20"/>
          <w:szCs w:val="20"/>
        </w:rPr>
        <w:t>with</w:t>
      </w:r>
      <w:proofErr w:type="spellEnd"/>
      <w:r w:rsidRPr="00FE761C">
        <w:rPr>
          <w:b/>
          <w:bCs/>
          <w:i w:val="0"/>
          <w:iCs w:val="0"/>
          <w:color w:val="auto"/>
          <w:sz w:val="20"/>
          <w:szCs w:val="20"/>
        </w:rPr>
        <w:t xml:space="preserve"> </w:t>
      </w:r>
      <w:proofErr w:type="spellStart"/>
      <w:r w:rsidRPr="00FE761C">
        <w:rPr>
          <w:b/>
          <w:bCs/>
          <w:i w:val="0"/>
          <w:iCs w:val="0"/>
          <w:color w:val="auto"/>
          <w:sz w:val="20"/>
          <w:szCs w:val="20"/>
        </w:rPr>
        <w:t>other</w:t>
      </w:r>
      <w:proofErr w:type="spellEnd"/>
      <w:r w:rsidRPr="00FE761C">
        <w:rPr>
          <w:b/>
          <w:bCs/>
          <w:i w:val="0"/>
          <w:iCs w:val="0"/>
          <w:color w:val="auto"/>
          <w:sz w:val="20"/>
          <w:szCs w:val="20"/>
        </w:rPr>
        <w:t xml:space="preserve"> </w:t>
      </w:r>
      <w:proofErr w:type="spellStart"/>
      <w:r w:rsidRPr="00FE761C">
        <w:rPr>
          <w:b/>
          <w:bCs/>
          <w:i w:val="0"/>
          <w:iCs w:val="0"/>
          <w:color w:val="auto"/>
          <w:sz w:val="20"/>
          <w:szCs w:val="20"/>
        </w:rPr>
        <w:t>countries</w:t>
      </w:r>
      <w:proofErr w:type="spellEnd"/>
      <w:r w:rsidRPr="00FE761C">
        <w:rPr>
          <w:b/>
          <w:bCs/>
          <w:i w:val="0"/>
          <w:iCs w:val="0"/>
          <w:color w:val="auto"/>
          <w:sz w:val="20"/>
          <w:szCs w:val="20"/>
        </w:rPr>
        <w:t xml:space="preserve"> in </w:t>
      </w:r>
      <w:proofErr w:type="spellStart"/>
      <w:r w:rsidRPr="00FE761C">
        <w:rPr>
          <w:b/>
          <w:bCs/>
          <w:i w:val="0"/>
          <w:iCs w:val="0"/>
          <w:color w:val="auto"/>
          <w:sz w:val="20"/>
          <w:szCs w:val="20"/>
        </w:rPr>
        <w:t>the</w:t>
      </w:r>
      <w:proofErr w:type="spellEnd"/>
      <w:r w:rsidRPr="00FE761C">
        <w:rPr>
          <w:b/>
          <w:bCs/>
          <w:i w:val="0"/>
          <w:iCs w:val="0"/>
          <w:color w:val="auto"/>
          <w:sz w:val="20"/>
          <w:szCs w:val="20"/>
        </w:rPr>
        <w:t xml:space="preserve"> Danube </w:t>
      </w:r>
      <w:proofErr w:type="spellStart"/>
      <w:r w:rsidRPr="00FE761C">
        <w:rPr>
          <w:b/>
          <w:bCs/>
          <w:i w:val="0"/>
          <w:iCs w:val="0"/>
          <w:color w:val="auto"/>
          <w:sz w:val="20"/>
          <w:szCs w:val="20"/>
        </w:rPr>
        <w:t>region</w:t>
      </w:r>
      <w:bookmarkEnd w:id="44"/>
      <w:proofErr w:type="spellEnd"/>
    </w:p>
    <w:p w14:paraId="7F3B1E18" w14:textId="7705D3A0" w:rsidR="006B7C73" w:rsidRPr="006B7C73" w:rsidRDefault="006B7C73" w:rsidP="006B7C73">
      <w:pPr>
        <w:spacing w:after="0"/>
      </w:pPr>
      <w:r>
        <w:rPr>
          <w:noProof/>
          <w14:ligatures w14:val="standardContextual"/>
        </w:rPr>
        <w:drawing>
          <wp:inline distT="0" distB="0" distL="0" distR="0" wp14:anchorId="35949DCF" wp14:editId="5110CBB1">
            <wp:extent cx="5759450" cy="2880000"/>
            <wp:effectExtent l="0" t="0" r="12700" b="15875"/>
            <wp:docPr id="668030485" name="Graf 1">
              <a:extLst xmlns:a="http://schemas.openxmlformats.org/drawingml/2006/main">
                <a:ext uri="{FF2B5EF4-FFF2-40B4-BE49-F238E27FC236}">
                  <a16:creationId xmlns:a16="http://schemas.microsoft.com/office/drawing/2014/main" id="{59BF0E1D-CA3C-2904-97D1-34293A220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8835004" w14:textId="4FDDE72B" w:rsidR="002541C3" w:rsidRDefault="002541C3" w:rsidP="002541C3">
      <w:pPr>
        <w:jc w:val="right"/>
      </w:pPr>
      <w:r w:rsidRPr="002E7249">
        <w:rPr>
          <w:rStyle w:val="normaltextrun"/>
          <w:rFonts w:ascii="Calibri" w:hAnsi="Calibri" w:cs="Calibri"/>
          <w:i/>
          <w:iCs/>
          <w:color w:val="000000"/>
          <w:sz w:val="20"/>
          <w:szCs w:val="20"/>
          <w:shd w:val="clear" w:color="auto" w:fill="FFFFFF"/>
          <w:lang w:val="en-GB"/>
        </w:rPr>
        <w:t xml:space="preserve">Data: </w:t>
      </w:r>
      <w:proofErr w:type="spellStart"/>
      <w:r w:rsidRPr="002E7249">
        <w:rPr>
          <w:rStyle w:val="spellingerror"/>
          <w:rFonts w:ascii="Calibri" w:hAnsi="Calibri" w:cs="Calibri"/>
          <w:i/>
          <w:iCs/>
          <w:color w:val="000000"/>
          <w:sz w:val="20"/>
          <w:szCs w:val="20"/>
          <w:shd w:val="clear" w:color="auto" w:fill="FFFFFF"/>
          <w:lang w:val="en-GB"/>
        </w:rPr>
        <w:t>InCites</w:t>
      </w:r>
      <w:proofErr w:type="spellEnd"/>
    </w:p>
    <w:p w14:paraId="5E4530C8" w14:textId="77777777" w:rsidR="002541C3" w:rsidRDefault="002541C3" w:rsidP="00DF0269">
      <w:pPr>
        <w:jc w:val="both"/>
      </w:pPr>
    </w:p>
    <w:p w14:paraId="46A8E9F2" w14:textId="77777777" w:rsidR="002541C3" w:rsidRPr="002541C3" w:rsidRDefault="002541C3" w:rsidP="002541C3">
      <w:pPr>
        <w:jc w:val="both"/>
        <w:rPr>
          <w:lang w:val="en-GB"/>
        </w:rPr>
      </w:pPr>
      <w:r w:rsidRPr="002541C3">
        <w:rPr>
          <w:lang w:val="en-GB"/>
        </w:rPr>
        <w:t>Patent activity reflects the efforts of innovators to protect their results. Given the complexity and cost of the patenting system, it is typically the highest-quality outputs that are protected. Within the EU, the highest number of PCT patent applications per one billion euros of GDP is recorded in Sweden (8.59), Finland (7.5), and Denmark (6.7).</w:t>
      </w:r>
    </w:p>
    <w:p w14:paraId="55F4E468" w14:textId="732E9838" w:rsidR="00FC2F8A" w:rsidRPr="008B5307" w:rsidRDefault="002541C3" w:rsidP="00DF0269">
      <w:pPr>
        <w:jc w:val="both"/>
        <w:rPr>
          <w:lang w:val="en-GB"/>
        </w:rPr>
      </w:pPr>
      <w:r w:rsidRPr="002541C3">
        <w:rPr>
          <w:lang w:val="en-GB"/>
        </w:rPr>
        <w:t>Among the countries of the Danube Region, only Germany and Austria are above the EU average. Germany has 5.77 patents per billion euros of GDP, and Austria 4.78. The lowest numbers of patent applications are observed in Montenegro (0.12), Romania (0.17), and Moldova (0.21).</w:t>
      </w:r>
      <w:r w:rsidR="00BB4C58">
        <w:t xml:space="preserve"> </w:t>
      </w:r>
    </w:p>
    <w:p w14:paraId="38BD0C92" w14:textId="77777777" w:rsidR="00E9733F" w:rsidRDefault="00E9733F" w:rsidP="00222D32">
      <w:pPr>
        <w:rPr>
          <w:i/>
          <w:iCs/>
          <w:sz w:val="20"/>
          <w:szCs w:val="20"/>
        </w:rPr>
      </w:pPr>
    </w:p>
    <w:p w14:paraId="55435D21" w14:textId="61EDC68B" w:rsidR="003B75D2" w:rsidRPr="00566056" w:rsidRDefault="003B75D2" w:rsidP="00566056">
      <w:pPr>
        <w:pStyle w:val="Popis"/>
        <w:keepNext/>
        <w:spacing w:after="120"/>
        <w:rPr>
          <w:b/>
          <w:bCs/>
          <w:i w:val="0"/>
          <w:iCs w:val="0"/>
          <w:color w:val="auto"/>
          <w:sz w:val="20"/>
          <w:szCs w:val="20"/>
        </w:rPr>
      </w:pPr>
      <w:bookmarkStart w:id="45" w:name="_Toc202166652"/>
      <w:proofErr w:type="spellStart"/>
      <w:r w:rsidRPr="00566056">
        <w:rPr>
          <w:b/>
          <w:bCs/>
          <w:i w:val="0"/>
          <w:iCs w:val="0"/>
          <w:color w:val="auto"/>
          <w:sz w:val="20"/>
          <w:szCs w:val="20"/>
        </w:rPr>
        <w:lastRenderedPageBreak/>
        <w:t>Graph</w:t>
      </w:r>
      <w:proofErr w:type="spellEnd"/>
      <w:r w:rsidRPr="00566056">
        <w:rPr>
          <w:b/>
          <w:bCs/>
          <w:i w:val="0"/>
          <w:iCs w:val="0"/>
          <w:color w:val="auto"/>
          <w:sz w:val="20"/>
          <w:szCs w:val="20"/>
        </w:rPr>
        <w:t xml:space="preserve">  </w:t>
      </w:r>
      <w:r w:rsidRPr="00566056">
        <w:rPr>
          <w:b/>
          <w:bCs/>
          <w:i w:val="0"/>
          <w:iCs w:val="0"/>
          <w:color w:val="auto"/>
          <w:sz w:val="20"/>
          <w:szCs w:val="20"/>
        </w:rPr>
        <w:fldChar w:fldCharType="begin"/>
      </w:r>
      <w:r w:rsidRPr="00566056">
        <w:rPr>
          <w:b/>
          <w:bCs/>
          <w:i w:val="0"/>
          <w:iCs w:val="0"/>
          <w:color w:val="auto"/>
          <w:sz w:val="20"/>
          <w:szCs w:val="20"/>
        </w:rPr>
        <w:instrText xml:space="preserve"> SEQ Graph_ \* ARABIC </w:instrText>
      </w:r>
      <w:r w:rsidRPr="00566056">
        <w:rPr>
          <w:b/>
          <w:bCs/>
          <w:i w:val="0"/>
          <w:iCs w:val="0"/>
          <w:color w:val="auto"/>
          <w:sz w:val="20"/>
          <w:szCs w:val="20"/>
        </w:rPr>
        <w:fldChar w:fldCharType="separate"/>
      </w:r>
      <w:r w:rsidR="00FE761C">
        <w:rPr>
          <w:b/>
          <w:bCs/>
          <w:i w:val="0"/>
          <w:iCs w:val="0"/>
          <w:noProof/>
          <w:color w:val="auto"/>
          <w:sz w:val="20"/>
          <w:szCs w:val="20"/>
        </w:rPr>
        <w:t>22</w:t>
      </w:r>
      <w:r w:rsidRPr="00566056">
        <w:rPr>
          <w:b/>
          <w:bCs/>
          <w:i w:val="0"/>
          <w:iCs w:val="0"/>
          <w:color w:val="auto"/>
          <w:sz w:val="20"/>
          <w:szCs w:val="20"/>
        </w:rPr>
        <w:fldChar w:fldCharType="end"/>
      </w:r>
      <w:r w:rsidRPr="00566056">
        <w:rPr>
          <w:b/>
          <w:bCs/>
          <w:i w:val="0"/>
          <w:iCs w:val="0"/>
          <w:color w:val="auto"/>
          <w:sz w:val="20"/>
          <w:szCs w:val="20"/>
        </w:rPr>
        <w:t xml:space="preserve"> PCT patent </w:t>
      </w:r>
      <w:proofErr w:type="spellStart"/>
      <w:r w:rsidRPr="00566056">
        <w:rPr>
          <w:b/>
          <w:bCs/>
          <w:i w:val="0"/>
          <w:iCs w:val="0"/>
          <w:color w:val="auto"/>
          <w:sz w:val="20"/>
          <w:szCs w:val="20"/>
        </w:rPr>
        <w:t>applications</w:t>
      </w:r>
      <w:proofErr w:type="spellEnd"/>
      <w:r w:rsidRPr="00566056">
        <w:rPr>
          <w:b/>
          <w:bCs/>
          <w:i w:val="0"/>
          <w:iCs w:val="0"/>
          <w:color w:val="auto"/>
          <w:sz w:val="20"/>
          <w:szCs w:val="20"/>
        </w:rPr>
        <w:t xml:space="preserve"> per </w:t>
      </w:r>
      <w:proofErr w:type="spellStart"/>
      <w:r w:rsidRPr="00566056">
        <w:rPr>
          <w:b/>
          <w:bCs/>
          <w:i w:val="0"/>
          <w:iCs w:val="0"/>
          <w:color w:val="auto"/>
          <w:sz w:val="20"/>
          <w:szCs w:val="20"/>
        </w:rPr>
        <w:t>billion</w:t>
      </w:r>
      <w:proofErr w:type="spellEnd"/>
      <w:r w:rsidRPr="00566056">
        <w:rPr>
          <w:b/>
          <w:bCs/>
          <w:i w:val="0"/>
          <w:iCs w:val="0"/>
          <w:color w:val="auto"/>
          <w:sz w:val="20"/>
          <w:szCs w:val="20"/>
        </w:rPr>
        <w:t xml:space="preserve"> GDP (in PPS)</w:t>
      </w:r>
      <w:bookmarkEnd w:id="45"/>
    </w:p>
    <w:p w14:paraId="36E14946" w14:textId="2856CD49" w:rsidR="00EE5587" w:rsidRDefault="00EE5587" w:rsidP="0079303B">
      <w:pPr>
        <w:spacing w:after="0"/>
        <w:rPr>
          <w:i/>
          <w:iCs/>
          <w:sz w:val="20"/>
          <w:szCs w:val="20"/>
        </w:rPr>
      </w:pPr>
      <w:r>
        <w:rPr>
          <w:noProof/>
          <w14:ligatures w14:val="standardContextual"/>
        </w:rPr>
        <w:drawing>
          <wp:inline distT="0" distB="0" distL="0" distR="0" wp14:anchorId="250E3653" wp14:editId="27B180FE">
            <wp:extent cx="5759450" cy="2800350"/>
            <wp:effectExtent l="0" t="0" r="12700" b="0"/>
            <wp:docPr id="2087538473" name="Graf 1">
              <a:extLst xmlns:a="http://schemas.openxmlformats.org/drawingml/2006/main">
                <a:ext uri="{FF2B5EF4-FFF2-40B4-BE49-F238E27FC236}">
                  <a16:creationId xmlns:a16="http://schemas.microsoft.com/office/drawing/2014/main" id="{39D3AB23-CCD2-4157-8214-611256ED9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4BF21A0" w14:textId="77777777" w:rsidR="0079303B" w:rsidRDefault="0079303B" w:rsidP="009F0F19">
      <w:pPr>
        <w:jc w:val="right"/>
        <w:rPr>
          <w:i/>
          <w:iCs/>
          <w:sz w:val="20"/>
          <w:szCs w:val="20"/>
        </w:rPr>
      </w:pPr>
      <w:proofErr w:type="spellStart"/>
      <w:r>
        <w:rPr>
          <w:i/>
          <w:iCs/>
          <w:sz w:val="20"/>
          <w:szCs w:val="20"/>
        </w:rPr>
        <w:t>Source</w:t>
      </w:r>
      <w:proofErr w:type="spellEnd"/>
      <w:r>
        <w:rPr>
          <w:i/>
          <w:iCs/>
          <w:sz w:val="20"/>
          <w:szCs w:val="20"/>
        </w:rPr>
        <w:t>: EIS 2024</w:t>
      </w:r>
    </w:p>
    <w:p w14:paraId="0671C0D2" w14:textId="77777777" w:rsidR="00AA1EB6" w:rsidRDefault="00AA1EB6" w:rsidP="0079303B">
      <w:pPr>
        <w:rPr>
          <w:i/>
          <w:iCs/>
          <w:sz w:val="20"/>
          <w:szCs w:val="20"/>
        </w:rPr>
      </w:pPr>
    </w:p>
    <w:p w14:paraId="07D8467F" w14:textId="17C820DD" w:rsidR="007F07CA" w:rsidRPr="00EC0E0B" w:rsidRDefault="002C3A1F" w:rsidP="00E348CF">
      <w:pPr>
        <w:jc w:val="both"/>
        <w:rPr>
          <w:lang w:val="en-GB"/>
        </w:rPr>
      </w:pPr>
      <w:r w:rsidRPr="002C3A1F">
        <w:rPr>
          <w:lang w:val="en-GB"/>
        </w:rPr>
        <w:t xml:space="preserve">Germany leads with the highest number of patent applications, </w:t>
      </w:r>
      <w:proofErr w:type="spellStart"/>
      <w:r w:rsidRPr="002C3A1F">
        <w:rPr>
          <w:lang w:val="en-GB"/>
        </w:rPr>
        <w:t>totaling</w:t>
      </w:r>
      <w:proofErr w:type="spellEnd"/>
      <w:r w:rsidRPr="002C3A1F">
        <w:rPr>
          <w:lang w:val="en-GB"/>
        </w:rPr>
        <w:t xml:space="preserve"> 25,033. The patent applications granted in Germany are nearly 8.5 times the total number of patent applications within the Danube region. Significant disparities in patent activities can be observed among the countries. Following Germany are Austria with 2,146 applications and the Czech Republic with 252. In three countries—Moldova, Montenegro, and Bosnia and Herzegovina—the number of patent applications granted in 2024 is less than 10.</w:t>
      </w:r>
    </w:p>
    <w:p w14:paraId="11803476" w14:textId="5DBA7E26" w:rsidR="00B407E8" w:rsidRPr="00B407E8" w:rsidRDefault="00B407E8" w:rsidP="00B407E8">
      <w:pPr>
        <w:pStyle w:val="Popis"/>
        <w:keepNext/>
        <w:spacing w:after="0"/>
        <w:rPr>
          <w:b/>
          <w:bCs/>
          <w:i w:val="0"/>
          <w:iCs w:val="0"/>
          <w:color w:val="auto"/>
          <w:sz w:val="20"/>
          <w:szCs w:val="20"/>
        </w:rPr>
      </w:pPr>
      <w:bookmarkStart w:id="46" w:name="_Toc202166661"/>
      <w:r w:rsidRPr="00B407E8">
        <w:rPr>
          <w:b/>
          <w:bCs/>
          <w:i w:val="0"/>
          <w:iCs w:val="0"/>
          <w:color w:val="auto"/>
          <w:sz w:val="20"/>
          <w:szCs w:val="20"/>
        </w:rPr>
        <w:t xml:space="preserve">Table </w:t>
      </w:r>
      <w:r w:rsidRPr="00B407E8">
        <w:rPr>
          <w:b/>
          <w:bCs/>
          <w:i w:val="0"/>
          <w:iCs w:val="0"/>
          <w:color w:val="auto"/>
          <w:sz w:val="20"/>
          <w:szCs w:val="20"/>
        </w:rPr>
        <w:fldChar w:fldCharType="begin"/>
      </w:r>
      <w:r w:rsidRPr="00B407E8">
        <w:rPr>
          <w:b/>
          <w:bCs/>
          <w:i w:val="0"/>
          <w:iCs w:val="0"/>
          <w:color w:val="auto"/>
          <w:sz w:val="20"/>
          <w:szCs w:val="20"/>
        </w:rPr>
        <w:instrText xml:space="preserve"> SEQ Table \* ARABIC </w:instrText>
      </w:r>
      <w:r w:rsidRPr="00B407E8">
        <w:rPr>
          <w:b/>
          <w:bCs/>
          <w:i w:val="0"/>
          <w:iCs w:val="0"/>
          <w:color w:val="auto"/>
          <w:sz w:val="20"/>
          <w:szCs w:val="20"/>
        </w:rPr>
        <w:fldChar w:fldCharType="separate"/>
      </w:r>
      <w:r w:rsidR="00FA21C8">
        <w:rPr>
          <w:b/>
          <w:bCs/>
          <w:i w:val="0"/>
          <w:iCs w:val="0"/>
          <w:noProof/>
          <w:color w:val="auto"/>
          <w:sz w:val="20"/>
          <w:szCs w:val="20"/>
        </w:rPr>
        <w:t>5</w:t>
      </w:r>
      <w:r w:rsidRPr="00B407E8">
        <w:rPr>
          <w:b/>
          <w:bCs/>
          <w:i w:val="0"/>
          <w:iCs w:val="0"/>
          <w:color w:val="auto"/>
          <w:sz w:val="20"/>
          <w:szCs w:val="20"/>
        </w:rPr>
        <w:fldChar w:fldCharType="end"/>
      </w:r>
      <w:r w:rsidRPr="00B407E8">
        <w:rPr>
          <w:b/>
          <w:bCs/>
          <w:i w:val="0"/>
          <w:iCs w:val="0"/>
          <w:color w:val="auto"/>
          <w:sz w:val="20"/>
          <w:szCs w:val="20"/>
        </w:rPr>
        <w:t xml:space="preserve"> EPO patent </w:t>
      </w:r>
      <w:proofErr w:type="spellStart"/>
      <w:r w:rsidRPr="00B407E8">
        <w:rPr>
          <w:b/>
          <w:bCs/>
          <w:i w:val="0"/>
          <w:iCs w:val="0"/>
          <w:color w:val="auto"/>
          <w:sz w:val="20"/>
          <w:szCs w:val="20"/>
        </w:rPr>
        <w:t>applications</w:t>
      </w:r>
      <w:proofErr w:type="spellEnd"/>
      <w:r w:rsidRPr="00B407E8">
        <w:rPr>
          <w:b/>
          <w:bCs/>
          <w:i w:val="0"/>
          <w:iCs w:val="0"/>
          <w:color w:val="auto"/>
          <w:sz w:val="20"/>
          <w:szCs w:val="20"/>
        </w:rPr>
        <w:t xml:space="preserve"> (2019-2024)</w:t>
      </w:r>
      <w:bookmarkEnd w:id="46"/>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20100D" w:rsidRPr="0020100D" w14:paraId="3C332C2B" w14:textId="77777777" w:rsidTr="00583C16">
        <w:trPr>
          <w:trHeight w:val="290"/>
        </w:trPr>
        <w:tc>
          <w:tcPr>
            <w:tcW w:w="960" w:type="dxa"/>
            <w:shd w:val="clear" w:color="auto" w:fill="auto"/>
            <w:vAlign w:val="bottom"/>
            <w:hideMark/>
          </w:tcPr>
          <w:p w14:paraId="71E70A54" w14:textId="5E3F3E67" w:rsidR="0020100D" w:rsidRPr="0020100D" w:rsidRDefault="0020100D" w:rsidP="0020100D">
            <w:pPr>
              <w:spacing w:after="0" w:line="240" w:lineRule="auto"/>
              <w:rPr>
                <w:rFonts w:ascii="Calibri" w:eastAsia="Times New Roman" w:hAnsi="Calibri" w:cs="Calibri"/>
                <w:b/>
                <w:bCs/>
                <w:lang w:eastAsia="sk-SK"/>
              </w:rPr>
            </w:pPr>
          </w:p>
        </w:tc>
        <w:tc>
          <w:tcPr>
            <w:tcW w:w="960" w:type="dxa"/>
            <w:shd w:val="clear" w:color="26466D" w:fill="26466D"/>
            <w:vAlign w:val="bottom"/>
            <w:hideMark/>
          </w:tcPr>
          <w:p w14:paraId="47842F94"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2019</w:t>
            </w:r>
          </w:p>
        </w:tc>
        <w:tc>
          <w:tcPr>
            <w:tcW w:w="960" w:type="dxa"/>
            <w:shd w:val="clear" w:color="26466D" w:fill="26466D"/>
            <w:vAlign w:val="bottom"/>
            <w:hideMark/>
          </w:tcPr>
          <w:p w14:paraId="35220C5F"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2020</w:t>
            </w:r>
          </w:p>
        </w:tc>
        <w:tc>
          <w:tcPr>
            <w:tcW w:w="960" w:type="dxa"/>
            <w:shd w:val="clear" w:color="26466D" w:fill="26466D"/>
            <w:vAlign w:val="bottom"/>
            <w:hideMark/>
          </w:tcPr>
          <w:p w14:paraId="7641568D"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2021</w:t>
            </w:r>
          </w:p>
        </w:tc>
        <w:tc>
          <w:tcPr>
            <w:tcW w:w="960" w:type="dxa"/>
            <w:shd w:val="clear" w:color="26466D" w:fill="26466D"/>
            <w:vAlign w:val="bottom"/>
            <w:hideMark/>
          </w:tcPr>
          <w:p w14:paraId="43A24859"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2022</w:t>
            </w:r>
          </w:p>
        </w:tc>
        <w:tc>
          <w:tcPr>
            <w:tcW w:w="960" w:type="dxa"/>
            <w:shd w:val="clear" w:color="26466D" w:fill="26466D"/>
            <w:vAlign w:val="bottom"/>
            <w:hideMark/>
          </w:tcPr>
          <w:p w14:paraId="43BE522D"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2023</w:t>
            </w:r>
          </w:p>
        </w:tc>
        <w:tc>
          <w:tcPr>
            <w:tcW w:w="960" w:type="dxa"/>
            <w:shd w:val="clear" w:color="26466D" w:fill="26466D"/>
            <w:vAlign w:val="bottom"/>
            <w:hideMark/>
          </w:tcPr>
          <w:p w14:paraId="77636C00" w14:textId="77777777" w:rsidR="0020100D" w:rsidRPr="0020100D" w:rsidRDefault="0020100D" w:rsidP="0020100D">
            <w:pPr>
              <w:spacing w:after="0" w:line="240" w:lineRule="auto"/>
              <w:jc w:val="right"/>
              <w:rPr>
                <w:rFonts w:ascii="Calibri" w:eastAsia="Times New Roman" w:hAnsi="Calibri" w:cs="Calibri"/>
                <w:b/>
                <w:bCs/>
                <w:color w:val="FFFFFF"/>
                <w:lang w:eastAsia="sk-SK"/>
              </w:rPr>
            </w:pPr>
            <w:r w:rsidRPr="0020100D">
              <w:rPr>
                <w:rFonts w:ascii="Calibri" w:eastAsia="Times New Roman" w:hAnsi="Calibri" w:cs="Calibri"/>
                <w:b/>
                <w:bCs/>
                <w:color w:val="FFFFFF"/>
                <w:lang w:eastAsia="sk-SK"/>
              </w:rPr>
              <w:t>2024</w:t>
            </w:r>
          </w:p>
        </w:tc>
      </w:tr>
      <w:tr w:rsidR="0020100D" w:rsidRPr="0020100D" w14:paraId="2C8B1551" w14:textId="77777777" w:rsidTr="00583C16">
        <w:trPr>
          <w:trHeight w:val="290"/>
        </w:trPr>
        <w:tc>
          <w:tcPr>
            <w:tcW w:w="960" w:type="dxa"/>
            <w:shd w:val="clear" w:color="auto" w:fill="auto"/>
            <w:vAlign w:val="bottom"/>
            <w:hideMark/>
          </w:tcPr>
          <w:p w14:paraId="12324451"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AT</w:t>
            </w:r>
          </w:p>
        </w:tc>
        <w:tc>
          <w:tcPr>
            <w:tcW w:w="960" w:type="dxa"/>
            <w:shd w:val="clear" w:color="auto" w:fill="auto"/>
            <w:noWrap/>
            <w:vAlign w:val="bottom"/>
            <w:hideMark/>
          </w:tcPr>
          <w:p w14:paraId="2D7390F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2 346</w:t>
            </w:r>
          </w:p>
        </w:tc>
        <w:tc>
          <w:tcPr>
            <w:tcW w:w="960" w:type="dxa"/>
            <w:shd w:val="clear" w:color="auto" w:fill="auto"/>
            <w:noWrap/>
            <w:vAlign w:val="bottom"/>
            <w:hideMark/>
          </w:tcPr>
          <w:p w14:paraId="458D671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2 306</w:t>
            </w:r>
          </w:p>
        </w:tc>
        <w:tc>
          <w:tcPr>
            <w:tcW w:w="960" w:type="dxa"/>
            <w:shd w:val="clear" w:color="auto" w:fill="auto"/>
            <w:noWrap/>
            <w:vAlign w:val="bottom"/>
            <w:hideMark/>
          </w:tcPr>
          <w:p w14:paraId="5CB9A86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2 309</w:t>
            </w:r>
          </w:p>
        </w:tc>
        <w:tc>
          <w:tcPr>
            <w:tcW w:w="960" w:type="dxa"/>
            <w:shd w:val="clear" w:color="auto" w:fill="auto"/>
            <w:noWrap/>
            <w:vAlign w:val="bottom"/>
            <w:hideMark/>
          </w:tcPr>
          <w:p w14:paraId="597DCA8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2 381</w:t>
            </w:r>
          </w:p>
        </w:tc>
        <w:tc>
          <w:tcPr>
            <w:tcW w:w="960" w:type="dxa"/>
            <w:shd w:val="clear" w:color="auto" w:fill="auto"/>
            <w:noWrap/>
            <w:vAlign w:val="bottom"/>
            <w:hideMark/>
          </w:tcPr>
          <w:p w14:paraId="49CFCB2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2 332</w:t>
            </w:r>
          </w:p>
        </w:tc>
        <w:tc>
          <w:tcPr>
            <w:tcW w:w="960" w:type="dxa"/>
            <w:shd w:val="clear" w:color="auto" w:fill="auto"/>
            <w:noWrap/>
            <w:vAlign w:val="bottom"/>
            <w:hideMark/>
          </w:tcPr>
          <w:p w14:paraId="43B25C48"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2 146</w:t>
            </w:r>
          </w:p>
        </w:tc>
      </w:tr>
      <w:tr w:rsidR="0020100D" w:rsidRPr="0020100D" w14:paraId="000D6EAF" w14:textId="77777777" w:rsidTr="00583C16">
        <w:trPr>
          <w:trHeight w:val="290"/>
        </w:trPr>
        <w:tc>
          <w:tcPr>
            <w:tcW w:w="960" w:type="dxa"/>
            <w:shd w:val="clear" w:color="auto" w:fill="auto"/>
            <w:vAlign w:val="bottom"/>
            <w:hideMark/>
          </w:tcPr>
          <w:p w14:paraId="6EBD9220"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BA</w:t>
            </w:r>
          </w:p>
        </w:tc>
        <w:tc>
          <w:tcPr>
            <w:tcW w:w="960" w:type="dxa"/>
            <w:shd w:val="clear" w:color="auto" w:fill="auto"/>
            <w:noWrap/>
            <w:vAlign w:val="bottom"/>
            <w:hideMark/>
          </w:tcPr>
          <w:p w14:paraId="799BBD5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w:t>
            </w:r>
          </w:p>
        </w:tc>
        <w:tc>
          <w:tcPr>
            <w:tcW w:w="960" w:type="dxa"/>
            <w:shd w:val="clear" w:color="auto" w:fill="auto"/>
            <w:noWrap/>
            <w:vAlign w:val="bottom"/>
            <w:hideMark/>
          </w:tcPr>
          <w:p w14:paraId="66BB01F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w:t>
            </w:r>
          </w:p>
        </w:tc>
        <w:tc>
          <w:tcPr>
            <w:tcW w:w="960" w:type="dxa"/>
            <w:shd w:val="clear" w:color="auto" w:fill="auto"/>
            <w:noWrap/>
            <w:vAlign w:val="bottom"/>
            <w:hideMark/>
          </w:tcPr>
          <w:p w14:paraId="2F47B228"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w:t>
            </w:r>
          </w:p>
        </w:tc>
        <w:tc>
          <w:tcPr>
            <w:tcW w:w="960" w:type="dxa"/>
            <w:shd w:val="clear" w:color="auto" w:fill="auto"/>
            <w:noWrap/>
            <w:vAlign w:val="bottom"/>
            <w:hideMark/>
          </w:tcPr>
          <w:p w14:paraId="6C8A764E"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7</w:t>
            </w:r>
          </w:p>
        </w:tc>
        <w:tc>
          <w:tcPr>
            <w:tcW w:w="960" w:type="dxa"/>
            <w:shd w:val="clear" w:color="auto" w:fill="auto"/>
            <w:noWrap/>
            <w:vAlign w:val="bottom"/>
            <w:hideMark/>
          </w:tcPr>
          <w:p w14:paraId="16E97D0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8</w:t>
            </w:r>
          </w:p>
        </w:tc>
        <w:tc>
          <w:tcPr>
            <w:tcW w:w="960" w:type="dxa"/>
            <w:shd w:val="clear" w:color="auto" w:fill="auto"/>
            <w:noWrap/>
            <w:vAlign w:val="bottom"/>
            <w:hideMark/>
          </w:tcPr>
          <w:p w14:paraId="166D742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6</w:t>
            </w:r>
          </w:p>
        </w:tc>
      </w:tr>
      <w:tr w:rsidR="0020100D" w:rsidRPr="0020100D" w14:paraId="72950B35" w14:textId="77777777" w:rsidTr="00583C16">
        <w:trPr>
          <w:trHeight w:val="290"/>
        </w:trPr>
        <w:tc>
          <w:tcPr>
            <w:tcW w:w="960" w:type="dxa"/>
            <w:shd w:val="clear" w:color="auto" w:fill="auto"/>
            <w:vAlign w:val="bottom"/>
            <w:hideMark/>
          </w:tcPr>
          <w:p w14:paraId="1E5BEEBE"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BG</w:t>
            </w:r>
          </w:p>
        </w:tc>
        <w:tc>
          <w:tcPr>
            <w:tcW w:w="960" w:type="dxa"/>
            <w:shd w:val="clear" w:color="auto" w:fill="auto"/>
            <w:noWrap/>
            <w:vAlign w:val="bottom"/>
            <w:hideMark/>
          </w:tcPr>
          <w:p w14:paraId="47E2A73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35</w:t>
            </w:r>
          </w:p>
        </w:tc>
        <w:tc>
          <w:tcPr>
            <w:tcW w:w="960" w:type="dxa"/>
            <w:shd w:val="clear" w:color="auto" w:fill="auto"/>
            <w:noWrap/>
            <w:vAlign w:val="bottom"/>
            <w:hideMark/>
          </w:tcPr>
          <w:p w14:paraId="5D35FFA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54</w:t>
            </w:r>
          </w:p>
        </w:tc>
        <w:tc>
          <w:tcPr>
            <w:tcW w:w="960" w:type="dxa"/>
            <w:shd w:val="clear" w:color="auto" w:fill="auto"/>
            <w:noWrap/>
            <w:vAlign w:val="bottom"/>
            <w:hideMark/>
          </w:tcPr>
          <w:p w14:paraId="7B9DDAF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43</w:t>
            </w:r>
          </w:p>
        </w:tc>
        <w:tc>
          <w:tcPr>
            <w:tcW w:w="960" w:type="dxa"/>
            <w:shd w:val="clear" w:color="auto" w:fill="auto"/>
            <w:noWrap/>
            <w:vAlign w:val="bottom"/>
            <w:hideMark/>
          </w:tcPr>
          <w:p w14:paraId="71E56CF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46</w:t>
            </w:r>
          </w:p>
        </w:tc>
        <w:tc>
          <w:tcPr>
            <w:tcW w:w="960" w:type="dxa"/>
            <w:shd w:val="clear" w:color="auto" w:fill="auto"/>
            <w:noWrap/>
            <w:vAlign w:val="bottom"/>
            <w:hideMark/>
          </w:tcPr>
          <w:p w14:paraId="09927E6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41</w:t>
            </w:r>
          </w:p>
        </w:tc>
        <w:tc>
          <w:tcPr>
            <w:tcW w:w="960" w:type="dxa"/>
            <w:shd w:val="clear" w:color="auto" w:fill="auto"/>
            <w:noWrap/>
            <w:vAlign w:val="bottom"/>
            <w:hideMark/>
          </w:tcPr>
          <w:p w14:paraId="5408D9B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53</w:t>
            </w:r>
          </w:p>
        </w:tc>
      </w:tr>
      <w:tr w:rsidR="0020100D" w:rsidRPr="0020100D" w14:paraId="3F6FE49E" w14:textId="77777777" w:rsidTr="00583C16">
        <w:trPr>
          <w:trHeight w:val="290"/>
        </w:trPr>
        <w:tc>
          <w:tcPr>
            <w:tcW w:w="960" w:type="dxa"/>
            <w:shd w:val="clear" w:color="auto" w:fill="auto"/>
            <w:vAlign w:val="bottom"/>
            <w:hideMark/>
          </w:tcPr>
          <w:p w14:paraId="5ADBE644"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CZ</w:t>
            </w:r>
          </w:p>
        </w:tc>
        <w:tc>
          <w:tcPr>
            <w:tcW w:w="960" w:type="dxa"/>
            <w:shd w:val="clear" w:color="auto" w:fill="auto"/>
            <w:noWrap/>
            <w:vAlign w:val="bottom"/>
            <w:hideMark/>
          </w:tcPr>
          <w:p w14:paraId="411D9BD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203</w:t>
            </w:r>
          </w:p>
        </w:tc>
        <w:tc>
          <w:tcPr>
            <w:tcW w:w="960" w:type="dxa"/>
            <w:shd w:val="clear" w:color="auto" w:fill="auto"/>
            <w:noWrap/>
            <w:vAlign w:val="bottom"/>
            <w:hideMark/>
          </w:tcPr>
          <w:p w14:paraId="27F0587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206</w:t>
            </w:r>
          </w:p>
        </w:tc>
        <w:tc>
          <w:tcPr>
            <w:tcW w:w="960" w:type="dxa"/>
            <w:shd w:val="clear" w:color="auto" w:fill="auto"/>
            <w:noWrap/>
            <w:vAlign w:val="bottom"/>
            <w:hideMark/>
          </w:tcPr>
          <w:p w14:paraId="4A7F243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201</w:t>
            </w:r>
          </w:p>
        </w:tc>
        <w:tc>
          <w:tcPr>
            <w:tcW w:w="960" w:type="dxa"/>
            <w:shd w:val="clear" w:color="auto" w:fill="auto"/>
            <w:noWrap/>
            <w:vAlign w:val="bottom"/>
            <w:hideMark/>
          </w:tcPr>
          <w:p w14:paraId="0A9C973E"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222</w:t>
            </w:r>
          </w:p>
        </w:tc>
        <w:tc>
          <w:tcPr>
            <w:tcW w:w="960" w:type="dxa"/>
            <w:shd w:val="clear" w:color="auto" w:fill="auto"/>
            <w:noWrap/>
            <w:vAlign w:val="bottom"/>
            <w:hideMark/>
          </w:tcPr>
          <w:p w14:paraId="3462C96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239</w:t>
            </w:r>
          </w:p>
        </w:tc>
        <w:tc>
          <w:tcPr>
            <w:tcW w:w="960" w:type="dxa"/>
            <w:shd w:val="clear" w:color="auto" w:fill="auto"/>
            <w:noWrap/>
            <w:vAlign w:val="bottom"/>
            <w:hideMark/>
          </w:tcPr>
          <w:p w14:paraId="4CD5C19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252</w:t>
            </w:r>
          </w:p>
        </w:tc>
      </w:tr>
      <w:tr w:rsidR="0020100D" w:rsidRPr="0020100D" w14:paraId="2B70FAB6" w14:textId="77777777" w:rsidTr="00583C16">
        <w:trPr>
          <w:trHeight w:val="290"/>
        </w:trPr>
        <w:tc>
          <w:tcPr>
            <w:tcW w:w="960" w:type="dxa"/>
            <w:shd w:val="clear" w:color="auto" w:fill="auto"/>
            <w:vAlign w:val="bottom"/>
            <w:hideMark/>
          </w:tcPr>
          <w:p w14:paraId="42A24E6D"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DE</w:t>
            </w:r>
          </w:p>
        </w:tc>
        <w:tc>
          <w:tcPr>
            <w:tcW w:w="960" w:type="dxa"/>
            <w:shd w:val="clear" w:color="auto" w:fill="auto"/>
            <w:noWrap/>
            <w:vAlign w:val="bottom"/>
            <w:hideMark/>
          </w:tcPr>
          <w:p w14:paraId="67A77AF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26 762</w:t>
            </w:r>
          </w:p>
        </w:tc>
        <w:tc>
          <w:tcPr>
            <w:tcW w:w="960" w:type="dxa"/>
            <w:shd w:val="clear" w:color="auto" w:fill="auto"/>
            <w:noWrap/>
            <w:vAlign w:val="bottom"/>
            <w:hideMark/>
          </w:tcPr>
          <w:p w14:paraId="1F247D78"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25 882</w:t>
            </w:r>
          </w:p>
        </w:tc>
        <w:tc>
          <w:tcPr>
            <w:tcW w:w="960" w:type="dxa"/>
            <w:shd w:val="clear" w:color="auto" w:fill="auto"/>
            <w:noWrap/>
            <w:vAlign w:val="bottom"/>
            <w:hideMark/>
          </w:tcPr>
          <w:p w14:paraId="55EE191E"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25 891</w:t>
            </w:r>
          </w:p>
        </w:tc>
        <w:tc>
          <w:tcPr>
            <w:tcW w:w="960" w:type="dxa"/>
            <w:shd w:val="clear" w:color="auto" w:fill="auto"/>
            <w:noWrap/>
            <w:vAlign w:val="bottom"/>
            <w:hideMark/>
          </w:tcPr>
          <w:p w14:paraId="2A467A6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24 612</w:t>
            </w:r>
          </w:p>
        </w:tc>
        <w:tc>
          <w:tcPr>
            <w:tcW w:w="960" w:type="dxa"/>
            <w:shd w:val="clear" w:color="auto" w:fill="auto"/>
            <w:noWrap/>
            <w:vAlign w:val="bottom"/>
            <w:hideMark/>
          </w:tcPr>
          <w:p w14:paraId="6CD2877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24 942</w:t>
            </w:r>
          </w:p>
        </w:tc>
        <w:tc>
          <w:tcPr>
            <w:tcW w:w="960" w:type="dxa"/>
            <w:shd w:val="clear" w:color="auto" w:fill="auto"/>
            <w:noWrap/>
            <w:vAlign w:val="bottom"/>
            <w:hideMark/>
          </w:tcPr>
          <w:p w14:paraId="63A426C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25 033</w:t>
            </w:r>
          </w:p>
        </w:tc>
      </w:tr>
      <w:tr w:rsidR="0020100D" w:rsidRPr="0020100D" w14:paraId="0CA6F116" w14:textId="77777777" w:rsidTr="00583C16">
        <w:trPr>
          <w:trHeight w:val="290"/>
        </w:trPr>
        <w:tc>
          <w:tcPr>
            <w:tcW w:w="960" w:type="dxa"/>
            <w:shd w:val="clear" w:color="auto" w:fill="auto"/>
            <w:vAlign w:val="bottom"/>
            <w:hideMark/>
          </w:tcPr>
          <w:p w14:paraId="284EDE1A"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HR</w:t>
            </w:r>
          </w:p>
        </w:tc>
        <w:tc>
          <w:tcPr>
            <w:tcW w:w="960" w:type="dxa"/>
            <w:shd w:val="clear" w:color="auto" w:fill="auto"/>
            <w:noWrap/>
            <w:vAlign w:val="bottom"/>
            <w:hideMark/>
          </w:tcPr>
          <w:p w14:paraId="74AB57F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19</w:t>
            </w:r>
          </w:p>
        </w:tc>
        <w:tc>
          <w:tcPr>
            <w:tcW w:w="960" w:type="dxa"/>
            <w:shd w:val="clear" w:color="auto" w:fill="auto"/>
            <w:noWrap/>
            <w:vAlign w:val="bottom"/>
            <w:hideMark/>
          </w:tcPr>
          <w:p w14:paraId="6C59CA3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23</w:t>
            </w:r>
          </w:p>
        </w:tc>
        <w:tc>
          <w:tcPr>
            <w:tcW w:w="960" w:type="dxa"/>
            <w:shd w:val="clear" w:color="auto" w:fill="auto"/>
            <w:noWrap/>
            <w:vAlign w:val="bottom"/>
            <w:hideMark/>
          </w:tcPr>
          <w:p w14:paraId="4BAF57A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27</w:t>
            </w:r>
          </w:p>
        </w:tc>
        <w:tc>
          <w:tcPr>
            <w:tcW w:w="960" w:type="dxa"/>
            <w:shd w:val="clear" w:color="auto" w:fill="auto"/>
            <w:noWrap/>
            <w:vAlign w:val="bottom"/>
            <w:hideMark/>
          </w:tcPr>
          <w:p w14:paraId="20C27A0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32</w:t>
            </w:r>
          </w:p>
        </w:tc>
        <w:tc>
          <w:tcPr>
            <w:tcW w:w="960" w:type="dxa"/>
            <w:shd w:val="clear" w:color="auto" w:fill="auto"/>
            <w:noWrap/>
            <w:vAlign w:val="bottom"/>
            <w:hideMark/>
          </w:tcPr>
          <w:p w14:paraId="5FCF7E7C"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52</w:t>
            </w:r>
          </w:p>
        </w:tc>
        <w:tc>
          <w:tcPr>
            <w:tcW w:w="960" w:type="dxa"/>
            <w:shd w:val="clear" w:color="auto" w:fill="auto"/>
            <w:noWrap/>
            <w:vAlign w:val="bottom"/>
            <w:hideMark/>
          </w:tcPr>
          <w:p w14:paraId="36343A2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41</w:t>
            </w:r>
          </w:p>
        </w:tc>
      </w:tr>
      <w:tr w:rsidR="0020100D" w:rsidRPr="0020100D" w14:paraId="7EEA5E9B" w14:textId="77777777" w:rsidTr="00583C16">
        <w:trPr>
          <w:trHeight w:val="290"/>
        </w:trPr>
        <w:tc>
          <w:tcPr>
            <w:tcW w:w="960" w:type="dxa"/>
            <w:shd w:val="clear" w:color="auto" w:fill="auto"/>
            <w:vAlign w:val="bottom"/>
            <w:hideMark/>
          </w:tcPr>
          <w:p w14:paraId="7B7B9E73"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HU</w:t>
            </w:r>
          </w:p>
        </w:tc>
        <w:tc>
          <w:tcPr>
            <w:tcW w:w="960" w:type="dxa"/>
            <w:shd w:val="clear" w:color="auto" w:fill="auto"/>
            <w:noWrap/>
            <w:vAlign w:val="bottom"/>
            <w:hideMark/>
          </w:tcPr>
          <w:p w14:paraId="507A8A3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97</w:t>
            </w:r>
          </w:p>
        </w:tc>
        <w:tc>
          <w:tcPr>
            <w:tcW w:w="960" w:type="dxa"/>
            <w:shd w:val="clear" w:color="auto" w:fill="auto"/>
            <w:noWrap/>
            <w:vAlign w:val="bottom"/>
            <w:hideMark/>
          </w:tcPr>
          <w:p w14:paraId="0815B501"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109</w:t>
            </w:r>
          </w:p>
        </w:tc>
        <w:tc>
          <w:tcPr>
            <w:tcW w:w="960" w:type="dxa"/>
            <w:shd w:val="clear" w:color="auto" w:fill="auto"/>
            <w:noWrap/>
            <w:vAlign w:val="bottom"/>
            <w:hideMark/>
          </w:tcPr>
          <w:p w14:paraId="43CDAA5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119</w:t>
            </w:r>
          </w:p>
        </w:tc>
        <w:tc>
          <w:tcPr>
            <w:tcW w:w="960" w:type="dxa"/>
            <w:shd w:val="clear" w:color="auto" w:fill="auto"/>
            <w:noWrap/>
            <w:vAlign w:val="bottom"/>
            <w:hideMark/>
          </w:tcPr>
          <w:p w14:paraId="440D010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104</w:t>
            </w:r>
          </w:p>
        </w:tc>
        <w:tc>
          <w:tcPr>
            <w:tcW w:w="960" w:type="dxa"/>
            <w:shd w:val="clear" w:color="auto" w:fill="auto"/>
            <w:noWrap/>
            <w:vAlign w:val="bottom"/>
            <w:hideMark/>
          </w:tcPr>
          <w:p w14:paraId="41EC7A0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109</w:t>
            </w:r>
          </w:p>
        </w:tc>
        <w:tc>
          <w:tcPr>
            <w:tcW w:w="960" w:type="dxa"/>
            <w:shd w:val="clear" w:color="auto" w:fill="auto"/>
            <w:noWrap/>
            <w:vAlign w:val="bottom"/>
            <w:hideMark/>
          </w:tcPr>
          <w:p w14:paraId="281313C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139</w:t>
            </w:r>
          </w:p>
        </w:tc>
      </w:tr>
      <w:tr w:rsidR="0020100D" w:rsidRPr="0020100D" w14:paraId="2DDD0388" w14:textId="77777777" w:rsidTr="00583C16">
        <w:trPr>
          <w:trHeight w:val="290"/>
        </w:trPr>
        <w:tc>
          <w:tcPr>
            <w:tcW w:w="960" w:type="dxa"/>
            <w:shd w:val="clear" w:color="auto" w:fill="auto"/>
            <w:vAlign w:val="bottom"/>
            <w:hideMark/>
          </w:tcPr>
          <w:p w14:paraId="003C4BAF"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MD</w:t>
            </w:r>
          </w:p>
        </w:tc>
        <w:tc>
          <w:tcPr>
            <w:tcW w:w="960" w:type="dxa"/>
            <w:shd w:val="clear" w:color="auto" w:fill="auto"/>
            <w:noWrap/>
            <w:vAlign w:val="bottom"/>
            <w:hideMark/>
          </w:tcPr>
          <w:p w14:paraId="2430374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w:t>
            </w:r>
          </w:p>
        </w:tc>
        <w:tc>
          <w:tcPr>
            <w:tcW w:w="960" w:type="dxa"/>
            <w:shd w:val="clear" w:color="auto" w:fill="auto"/>
            <w:noWrap/>
            <w:vAlign w:val="bottom"/>
            <w:hideMark/>
          </w:tcPr>
          <w:p w14:paraId="68C5ECFF"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w:t>
            </w:r>
          </w:p>
        </w:tc>
        <w:tc>
          <w:tcPr>
            <w:tcW w:w="960" w:type="dxa"/>
            <w:shd w:val="clear" w:color="auto" w:fill="auto"/>
            <w:noWrap/>
            <w:vAlign w:val="bottom"/>
            <w:hideMark/>
          </w:tcPr>
          <w:p w14:paraId="0C21D612"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3</w:t>
            </w:r>
          </w:p>
        </w:tc>
        <w:tc>
          <w:tcPr>
            <w:tcW w:w="960" w:type="dxa"/>
            <w:shd w:val="clear" w:color="auto" w:fill="auto"/>
            <w:noWrap/>
            <w:vAlign w:val="bottom"/>
            <w:hideMark/>
          </w:tcPr>
          <w:p w14:paraId="091E2571"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0</w:t>
            </w:r>
          </w:p>
        </w:tc>
        <w:tc>
          <w:tcPr>
            <w:tcW w:w="960" w:type="dxa"/>
            <w:shd w:val="clear" w:color="auto" w:fill="auto"/>
            <w:noWrap/>
            <w:vAlign w:val="bottom"/>
            <w:hideMark/>
          </w:tcPr>
          <w:p w14:paraId="648F1CA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0</w:t>
            </w:r>
          </w:p>
        </w:tc>
        <w:tc>
          <w:tcPr>
            <w:tcW w:w="960" w:type="dxa"/>
            <w:shd w:val="clear" w:color="auto" w:fill="auto"/>
            <w:noWrap/>
            <w:vAlign w:val="bottom"/>
            <w:hideMark/>
          </w:tcPr>
          <w:p w14:paraId="614BA3EF"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3</w:t>
            </w:r>
          </w:p>
        </w:tc>
      </w:tr>
      <w:tr w:rsidR="0020100D" w:rsidRPr="0020100D" w14:paraId="327BDCF5" w14:textId="77777777" w:rsidTr="00583C16">
        <w:trPr>
          <w:trHeight w:val="290"/>
        </w:trPr>
        <w:tc>
          <w:tcPr>
            <w:tcW w:w="960" w:type="dxa"/>
            <w:shd w:val="clear" w:color="auto" w:fill="auto"/>
            <w:vAlign w:val="bottom"/>
            <w:hideMark/>
          </w:tcPr>
          <w:p w14:paraId="12DD4DFA"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ME</w:t>
            </w:r>
          </w:p>
        </w:tc>
        <w:tc>
          <w:tcPr>
            <w:tcW w:w="960" w:type="dxa"/>
            <w:shd w:val="clear" w:color="auto" w:fill="auto"/>
            <w:noWrap/>
            <w:vAlign w:val="bottom"/>
            <w:hideMark/>
          </w:tcPr>
          <w:p w14:paraId="4F0533EE"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0</w:t>
            </w:r>
          </w:p>
        </w:tc>
        <w:tc>
          <w:tcPr>
            <w:tcW w:w="960" w:type="dxa"/>
            <w:shd w:val="clear" w:color="auto" w:fill="auto"/>
            <w:noWrap/>
            <w:vAlign w:val="bottom"/>
            <w:hideMark/>
          </w:tcPr>
          <w:p w14:paraId="15A60F9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w:t>
            </w:r>
          </w:p>
        </w:tc>
        <w:tc>
          <w:tcPr>
            <w:tcW w:w="960" w:type="dxa"/>
            <w:shd w:val="clear" w:color="auto" w:fill="auto"/>
            <w:noWrap/>
            <w:vAlign w:val="bottom"/>
            <w:hideMark/>
          </w:tcPr>
          <w:p w14:paraId="1EB0334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w:t>
            </w:r>
          </w:p>
        </w:tc>
        <w:tc>
          <w:tcPr>
            <w:tcW w:w="960" w:type="dxa"/>
            <w:shd w:val="clear" w:color="auto" w:fill="auto"/>
            <w:noWrap/>
            <w:vAlign w:val="bottom"/>
            <w:hideMark/>
          </w:tcPr>
          <w:p w14:paraId="68ABD919"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0</w:t>
            </w:r>
          </w:p>
        </w:tc>
        <w:tc>
          <w:tcPr>
            <w:tcW w:w="960" w:type="dxa"/>
            <w:shd w:val="clear" w:color="auto" w:fill="auto"/>
            <w:noWrap/>
            <w:vAlign w:val="bottom"/>
            <w:hideMark/>
          </w:tcPr>
          <w:p w14:paraId="23B477AA"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0</w:t>
            </w:r>
          </w:p>
        </w:tc>
        <w:tc>
          <w:tcPr>
            <w:tcW w:w="960" w:type="dxa"/>
            <w:shd w:val="clear" w:color="auto" w:fill="auto"/>
            <w:noWrap/>
            <w:vAlign w:val="bottom"/>
            <w:hideMark/>
          </w:tcPr>
          <w:p w14:paraId="5D5F7798"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6</w:t>
            </w:r>
          </w:p>
        </w:tc>
      </w:tr>
      <w:tr w:rsidR="0020100D" w:rsidRPr="0020100D" w14:paraId="02BB6B38" w14:textId="77777777" w:rsidTr="00583C16">
        <w:trPr>
          <w:trHeight w:val="290"/>
        </w:trPr>
        <w:tc>
          <w:tcPr>
            <w:tcW w:w="960" w:type="dxa"/>
            <w:shd w:val="clear" w:color="auto" w:fill="auto"/>
            <w:vAlign w:val="bottom"/>
            <w:hideMark/>
          </w:tcPr>
          <w:p w14:paraId="54D87B91"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RO</w:t>
            </w:r>
          </w:p>
        </w:tc>
        <w:tc>
          <w:tcPr>
            <w:tcW w:w="960" w:type="dxa"/>
            <w:shd w:val="clear" w:color="auto" w:fill="auto"/>
            <w:noWrap/>
            <w:vAlign w:val="bottom"/>
            <w:hideMark/>
          </w:tcPr>
          <w:p w14:paraId="10095E58"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40</w:t>
            </w:r>
          </w:p>
        </w:tc>
        <w:tc>
          <w:tcPr>
            <w:tcW w:w="960" w:type="dxa"/>
            <w:shd w:val="clear" w:color="auto" w:fill="auto"/>
            <w:noWrap/>
            <w:vAlign w:val="bottom"/>
            <w:hideMark/>
          </w:tcPr>
          <w:p w14:paraId="52750253"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55</w:t>
            </w:r>
          </w:p>
        </w:tc>
        <w:tc>
          <w:tcPr>
            <w:tcW w:w="960" w:type="dxa"/>
            <w:shd w:val="clear" w:color="auto" w:fill="auto"/>
            <w:noWrap/>
            <w:vAlign w:val="bottom"/>
            <w:hideMark/>
          </w:tcPr>
          <w:p w14:paraId="6DE7185F"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31</w:t>
            </w:r>
          </w:p>
        </w:tc>
        <w:tc>
          <w:tcPr>
            <w:tcW w:w="960" w:type="dxa"/>
            <w:shd w:val="clear" w:color="auto" w:fill="auto"/>
            <w:noWrap/>
            <w:vAlign w:val="bottom"/>
            <w:hideMark/>
          </w:tcPr>
          <w:p w14:paraId="559ED5C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46</w:t>
            </w:r>
          </w:p>
        </w:tc>
        <w:tc>
          <w:tcPr>
            <w:tcW w:w="960" w:type="dxa"/>
            <w:shd w:val="clear" w:color="auto" w:fill="auto"/>
            <w:noWrap/>
            <w:vAlign w:val="bottom"/>
            <w:hideMark/>
          </w:tcPr>
          <w:p w14:paraId="497BB7B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42</w:t>
            </w:r>
          </w:p>
        </w:tc>
        <w:tc>
          <w:tcPr>
            <w:tcW w:w="960" w:type="dxa"/>
            <w:shd w:val="clear" w:color="auto" w:fill="auto"/>
            <w:noWrap/>
            <w:vAlign w:val="bottom"/>
            <w:hideMark/>
          </w:tcPr>
          <w:p w14:paraId="2A43B67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63</w:t>
            </w:r>
          </w:p>
        </w:tc>
      </w:tr>
      <w:tr w:rsidR="0020100D" w:rsidRPr="0020100D" w14:paraId="0B6C3F1A" w14:textId="77777777" w:rsidTr="00583C16">
        <w:trPr>
          <w:trHeight w:val="290"/>
        </w:trPr>
        <w:tc>
          <w:tcPr>
            <w:tcW w:w="960" w:type="dxa"/>
            <w:shd w:val="clear" w:color="auto" w:fill="auto"/>
            <w:vAlign w:val="bottom"/>
            <w:hideMark/>
          </w:tcPr>
          <w:p w14:paraId="6B0CE61C"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RS</w:t>
            </w:r>
          </w:p>
        </w:tc>
        <w:tc>
          <w:tcPr>
            <w:tcW w:w="960" w:type="dxa"/>
            <w:shd w:val="clear" w:color="auto" w:fill="auto"/>
            <w:noWrap/>
            <w:vAlign w:val="bottom"/>
            <w:hideMark/>
          </w:tcPr>
          <w:p w14:paraId="68E4A4C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9</w:t>
            </w:r>
          </w:p>
        </w:tc>
        <w:tc>
          <w:tcPr>
            <w:tcW w:w="960" w:type="dxa"/>
            <w:shd w:val="clear" w:color="auto" w:fill="auto"/>
            <w:noWrap/>
            <w:vAlign w:val="bottom"/>
            <w:hideMark/>
          </w:tcPr>
          <w:p w14:paraId="26933B2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8</w:t>
            </w:r>
          </w:p>
        </w:tc>
        <w:tc>
          <w:tcPr>
            <w:tcW w:w="960" w:type="dxa"/>
            <w:shd w:val="clear" w:color="auto" w:fill="auto"/>
            <w:noWrap/>
            <w:vAlign w:val="bottom"/>
            <w:hideMark/>
          </w:tcPr>
          <w:p w14:paraId="7950B8C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w:t>
            </w:r>
          </w:p>
        </w:tc>
        <w:tc>
          <w:tcPr>
            <w:tcW w:w="960" w:type="dxa"/>
            <w:shd w:val="clear" w:color="auto" w:fill="auto"/>
            <w:noWrap/>
            <w:vAlign w:val="bottom"/>
            <w:hideMark/>
          </w:tcPr>
          <w:p w14:paraId="28CDAF4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13</w:t>
            </w:r>
          </w:p>
        </w:tc>
        <w:tc>
          <w:tcPr>
            <w:tcW w:w="960" w:type="dxa"/>
            <w:shd w:val="clear" w:color="auto" w:fill="auto"/>
            <w:noWrap/>
            <w:vAlign w:val="bottom"/>
            <w:hideMark/>
          </w:tcPr>
          <w:p w14:paraId="75CA939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14</w:t>
            </w:r>
          </w:p>
        </w:tc>
        <w:tc>
          <w:tcPr>
            <w:tcW w:w="960" w:type="dxa"/>
            <w:shd w:val="clear" w:color="auto" w:fill="auto"/>
            <w:noWrap/>
            <w:vAlign w:val="bottom"/>
            <w:hideMark/>
          </w:tcPr>
          <w:p w14:paraId="778D867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w:t>
            </w:r>
          </w:p>
        </w:tc>
      </w:tr>
      <w:tr w:rsidR="0020100D" w:rsidRPr="0020100D" w14:paraId="4EE31A9C" w14:textId="77777777" w:rsidTr="00583C16">
        <w:trPr>
          <w:trHeight w:val="290"/>
        </w:trPr>
        <w:tc>
          <w:tcPr>
            <w:tcW w:w="960" w:type="dxa"/>
            <w:shd w:val="clear" w:color="auto" w:fill="auto"/>
            <w:vAlign w:val="bottom"/>
            <w:hideMark/>
          </w:tcPr>
          <w:p w14:paraId="52BD8104"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SI</w:t>
            </w:r>
          </w:p>
        </w:tc>
        <w:tc>
          <w:tcPr>
            <w:tcW w:w="960" w:type="dxa"/>
            <w:shd w:val="clear" w:color="auto" w:fill="auto"/>
            <w:noWrap/>
            <w:vAlign w:val="bottom"/>
            <w:hideMark/>
          </w:tcPr>
          <w:p w14:paraId="4B0B559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122</w:t>
            </w:r>
          </w:p>
        </w:tc>
        <w:tc>
          <w:tcPr>
            <w:tcW w:w="960" w:type="dxa"/>
            <w:shd w:val="clear" w:color="auto" w:fill="auto"/>
            <w:noWrap/>
            <w:vAlign w:val="bottom"/>
            <w:hideMark/>
          </w:tcPr>
          <w:p w14:paraId="0CE035BD"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165</w:t>
            </w:r>
          </w:p>
        </w:tc>
        <w:tc>
          <w:tcPr>
            <w:tcW w:w="960" w:type="dxa"/>
            <w:shd w:val="clear" w:color="auto" w:fill="auto"/>
            <w:noWrap/>
            <w:vAlign w:val="bottom"/>
            <w:hideMark/>
          </w:tcPr>
          <w:p w14:paraId="107A5500"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116</w:t>
            </w:r>
          </w:p>
        </w:tc>
        <w:tc>
          <w:tcPr>
            <w:tcW w:w="960" w:type="dxa"/>
            <w:shd w:val="clear" w:color="auto" w:fill="auto"/>
            <w:noWrap/>
            <w:vAlign w:val="bottom"/>
            <w:hideMark/>
          </w:tcPr>
          <w:p w14:paraId="401BA37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123</w:t>
            </w:r>
          </w:p>
        </w:tc>
        <w:tc>
          <w:tcPr>
            <w:tcW w:w="960" w:type="dxa"/>
            <w:shd w:val="clear" w:color="auto" w:fill="auto"/>
            <w:noWrap/>
            <w:vAlign w:val="bottom"/>
            <w:hideMark/>
          </w:tcPr>
          <w:p w14:paraId="7F5AC420"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153</w:t>
            </w:r>
          </w:p>
        </w:tc>
        <w:tc>
          <w:tcPr>
            <w:tcW w:w="960" w:type="dxa"/>
            <w:shd w:val="clear" w:color="auto" w:fill="auto"/>
            <w:noWrap/>
            <w:vAlign w:val="bottom"/>
            <w:hideMark/>
          </w:tcPr>
          <w:p w14:paraId="5822ECC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156</w:t>
            </w:r>
          </w:p>
        </w:tc>
      </w:tr>
      <w:tr w:rsidR="0020100D" w:rsidRPr="0020100D" w14:paraId="5CE56724" w14:textId="77777777" w:rsidTr="00583C16">
        <w:trPr>
          <w:trHeight w:val="290"/>
        </w:trPr>
        <w:tc>
          <w:tcPr>
            <w:tcW w:w="960" w:type="dxa"/>
            <w:shd w:val="clear" w:color="auto" w:fill="auto"/>
            <w:vAlign w:val="bottom"/>
            <w:hideMark/>
          </w:tcPr>
          <w:p w14:paraId="7980BDF7"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SK</w:t>
            </w:r>
          </w:p>
        </w:tc>
        <w:tc>
          <w:tcPr>
            <w:tcW w:w="960" w:type="dxa"/>
            <w:shd w:val="clear" w:color="auto" w:fill="auto"/>
            <w:noWrap/>
            <w:vAlign w:val="bottom"/>
            <w:hideMark/>
          </w:tcPr>
          <w:p w14:paraId="5B04B121"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42</w:t>
            </w:r>
          </w:p>
        </w:tc>
        <w:tc>
          <w:tcPr>
            <w:tcW w:w="960" w:type="dxa"/>
            <w:shd w:val="clear" w:color="auto" w:fill="auto"/>
            <w:noWrap/>
            <w:vAlign w:val="bottom"/>
            <w:hideMark/>
          </w:tcPr>
          <w:p w14:paraId="5E0C1754"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54</w:t>
            </w:r>
          </w:p>
        </w:tc>
        <w:tc>
          <w:tcPr>
            <w:tcW w:w="960" w:type="dxa"/>
            <w:shd w:val="clear" w:color="auto" w:fill="auto"/>
            <w:noWrap/>
            <w:vAlign w:val="bottom"/>
            <w:hideMark/>
          </w:tcPr>
          <w:p w14:paraId="10E7D147"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43</w:t>
            </w:r>
          </w:p>
        </w:tc>
        <w:tc>
          <w:tcPr>
            <w:tcW w:w="960" w:type="dxa"/>
            <w:shd w:val="clear" w:color="auto" w:fill="auto"/>
            <w:noWrap/>
            <w:vAlign w:val="bottom"/>
            <w:hideMark/>
          </w:tcPr>
          <w:p w14:paraId="28544984"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48</w:t>
            </w:r>
          </w:p>
        </w:tc>
        <w:tc>
          <w:tcPr>
            <w:tcW w:w="960" w:type="dxa"/>
            <w:shd w:val="clear" w:color="auto" w:fill="auto"/>
            <w:noWrap/>
            <w:vAlign w:val="bottom"/>
            <w:hideMark/>
          </w:tcPr>
          <w:p w14:paraId="449513AF"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56</w:t>
            </w:r>
          </w:p>
        </w:tc>
        <w:tc>
          <w:tcPr>
            <w:tcW w:w="960" w:type="dxa"/>
            <w:shd w:val="clear" w:color="auto" w:fill="auto"/>
            <w:noWrap/>
            <w:vAlign w:val="bottom"/>
            <w:hideMark/>
          </w:tcPr>
          <w:p w14:paraId="26210C6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62</w:t>
            </w:r>
          </w:p>
        </w:tc>
      </w:tr>
      <w:tr w:rsidR="0020100D" w:rsidRPr="0020100D" w14:paraId="2B053C89" w14:textId="77777777" w:rsidTr="00583C16">
        <w:trPr>
          <w:trHeight w:val="290"/>
        </w:trPr>
        <w:tc>
          <w:tcPr>
            <w:tcW w:w="960" w:type="dxa"/>
            <w:shd w:val="clear" w:color="auto" w:fill="auto"/>
            <w:vAlign w:val="bottom"/>
            <w:hideMark/>
          </w:tcPr>
          <w:p w14:paraId="67B2B1DC" w14:textId="77777777" w:rsidR="0020100D" w:rsidRPr="0020100D" w:rsidRDefault="0020100D" w:rsidP="0020100D">
            <w:pPr>
              <w:spacing w:after="0" w:line="240" w:lineRule="auto"/>
              <w:rPr>
                <w:rFonts w:ascii="Calibri" w:eastAsia="Times New Roman" w:hAnsi="Calibri" w:cs="Calibri"/>
                <w:b/>
                <w:bCs/>
                <w:lang w:eastAsia="sk-SK"/>
              </w:rPr>
            </w:pPr>
            <w:r w:rsidRPr="0020100D">
              <w:rPr>
                <w:rFonts w:ascii="Calibri" w:eastAsia="Times New Roman" w:hAnsi="Calibri" w:cs="Calibri"/>
                <w:b/>
                <w:bCs/>
                <w:lang w:eastAsia="sk-SK"/>
              </w:rPr>
              <w:t>UA</w:t>
            </w:r>
          </w:p>
        </w:tc>
        <w:tc>
          <w:tcPr>
            <w:tcW w:w="960" w:type="dxa"/>
            <w:shd w:val="clear" w:color="auto" w:fill="auto"/>
            <w:noWrap/>
            <w:vAlign w:val="bottom"/>
            <w:hideMark/>
          </w:tcPr>
          <w:p w14:paraId="4D5E2055"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21</w:t>
            </w:r>
          </w:p>
        </w:tc>
        <w:tc>
          <w:tcPr>
            <w:tcW w:w="960" w:type="dxa"/>
            <w:shd w:val="clear" w:color="auto" w:fill="auto"/>
            <w:noWrap/>
            <w:vAlign w:val="bottom"/>
            <w:hideMark/>
          </w:tcPr>
          <w:p w14:paraId="2F0B4DCC"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18</w:t>
            </w:r>
          </w:p>
        </w:tc>
        <w:tc>
          <w:tcPr>
            <w:tcW w:w="960" w:type="dxa"/>
            <w:shd w:val="clear" w:color="auto" w:fill="auto"/>
            <w:noWrap/>
            <w:vAlign w:val="bottom"/>
            <w:hideMark/>
          </w:tcPr>
          <w:p w14:paraId="5FB45AAE"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29</w:t>
            </w:r>
          </w:p>
        </w:tc>
        <w:tc>
          <w:tcPr>
            <w:tcW w:w="960" w:type="dxa"/>
            <w:shd w:val="clear" w:color="auto" w:fill="auto"/>
            <w:noWrap/>
            <w:vAlign w:val="bottom"/>
            <w:hideMark/>
          </w:tcPr>
          <w:p w14:paraId="2507C1AB"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18</w:t>
            </w:r>
          </w:p>
        </w:tc>
        <w:tc>
          <w:tcPr>
            <w:tcW w:w="960" w:type="dxa"/>
            <w:shd w:val="clear" w:color="auto" w:fill="auto"/>
            <w:noWrap/>
            <w:vAlign w:val="bottom"/>
            <w:hideMark/>
          </w:tcPr>
          <w:p w14:paraId="359D8BA6"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23</w:t>
            </w:r>
          </w:p>
        </w:tc>
        <w:tc>
          <w:tcPr>
            <w:tcW w:w="960" w:type="dxa"/>
            <w:shd w:val="clear" w:color="auto" w:fill="auto"/>
            <w:noWrap/>
            <w:vAlign w:val="bottom"/>
            <w:hideMark/>
          </w:tcPr>
          <w:p w14:paraId="78032090" w14:textId="77777777" w:rsidR="0020100D" w:rsidRPr="0020100D" w:rsidRDefault="0020100D" w:rsidP="0020100D">
            <w:pPr>
              <w:spacing w:after="0" w:line="240" w:lineRule="auto"/>
              <w:jc w:val="right"/>
              <w:rPr>
                <w:rFonts w:ascii="Aptos Narrow" w:eastAsia="Times New Roman" w:hAnsi="Aptos Narrow" w:cs="Times New Roman"/>
                <w:color w:val="000000"/>
                <w:lang w:eastAsia="sk-SK"/>
              </w:rPr>
            </w:pPr>
            <w:r w:rsidRPr="0020100D">
              <w:rPr>
                <w:rFonts w:ascii="Aptos Narrow" w:eastAsia="Times New Roman" w:hAnsi="Aptos Narrow" w:cs="Times New Roman"/>
                <w:color w:val="000000"/>
                <w:lang w:eastAsia="sk-SK"/>
              </w:rPr>
              <w:t>20</w:t>
            </w:r>
          </w:p>
        </w:tc>
      </w:tr>
    </w:tbl>
    <w:p w14:paraId="1747C795" w14:textId="500DED4E" w:rsidR="007F07CA" w:rsidRPr="0056354F" w:rsidRDefault="0056354F" w:rsidP="00583C16">
      <w:pPr>
        <w:ind w:left="4956" w:firstLine="708"/>
        <w:rPr>
          <w:i/>
          <w:iCs/>
          <w:sz w:val="20"/>
          <w:szCs w:val="20"/>
        </w:rPr>
      </w:pPr>
      <w:proofErr w:type="spellStart"/>
      <w:r w:rsidRPr="0056354F">
        <w:rPr>
          <w:i/>
          <w:iCs/>
          <w:sz w:val="20"/>
          <w:szCs w:val="20"/>
        </w:rPr>
        <w:t>Data</w:t>
      </w:r>
      <w:proofErr w:type="spellEnd"/>
      <w:r w:rsidRPr="0056354F">
        <w:rPr>
          <w:i/>
          <w:iCs/>
          <w:sz w:val="20"/>
          <w:szCs w:val="20"/>
        </w:rPr>
        <w:t>: EPO</w:t>
      </w:r>
    </w:p>
    <w:p w14:paraId="15517616" w14:textId="77777777" w:rsidR="00A4092E" w:rsidRDefault="00A4092E" w:rsidP="007B4A8F">
      <w:pPr>
        <w:jc w:val="both"/>
      </w:pPr>
    </w:p>
    <w:p w14:paraId="3A7157A1" w14:textId="7AB5523F" w:rsidR="007F07CA" w:rsidRPr="00E9648A" w:rsidRDefault="00A4092E" w:rsidP="00E9648A">
      <w:pPr>
        <w:jc w:val="both"/>
        <w:rPr>
          <w:lang w:val="en-GB"/>
        </w:rPr>
      </w:pPr>
      <w:r w:rsidRPr="00A4092E">
        <w:rPr>
          <w:lang w:val="en-GB"/>
        </w:rPr>
        <w:t xml:space="preserve">As with other comparisons, it is not entirely appropriate to compare countries of different sizes directly. When we look at the number of patent applications per million inhabitants, the situation </w:t>
      </w:r>
      <w:r w:rsidRPr="00A4092E">
        <w:rPr>
          <w:lang w:val="en-GB"/>
        </w:rPr>
        <w:lastRenderedPageBreak/>
        <w:t>adjusts slightly. Germany still has the most applications (297), followed by Austria (235) and Slovenia (73). Conversely, half of the countries in the region have fewer than 10 applications per million inhabitants. Ukraine has the fewest (0.51), followed by Moldova (1) and Bosnia and Herzegovina (1.91).</w:t>
      </w:r>
    </w:p>
    <w:p w14:paraId="49484978" w14:textId="76A5AA2A" w:rsidR="00451703" w:rsidRPr="00451703" w:rsidRDefault="00451703" w:rsidP="00451703">
      <w:pPr>
        <w:pStyle w:val="Popis"/>
        <w:keepNext/>
        <w:spacing w:after="0"/>
        <w:rPr>
          <w:b/>
          <w:bCs/>
          <w:i w:val="0"/>
          <w:iCs w:val="0"/>
          <w:color w:val="auto"/>
          <w:sz w:val="20"/>
          <w:szCs w:val="20"/>
        </w:rPr>
      </w:pPr>
      <w:bookmarkStart w:id="47" w:name="_Toc202166662"/>
      <w:r w:rsidRPr="00451703">
        <w:rPr>
          <w:b/>
          <w:bCs/>
          <w:i w:val="0"/>
          <w:iCs w:val="0"/>
          <w:color w:val="auto"/>
          <w:sz w:val="20"/>
          <w:szCs w:val="20"/>
        </w:rPr>
        <w:t xml:space="preserve">Table </w:t>
      </w:r>
      <w:r w:rsidRPr="00451703">
        <w:rPr>
          <w:b/>
          <w:bCs/>
          <w:i w:val="0"/>
          <w:iCs w:val="0"/>
          <w:color w:val="auto"/>
          <w:sz w:val="20"/>
          <w:szCs w:val="20"/>
        </w:rPr>
        <w:fldChar w:fldCharType="begin"/>
      </w:r>
      <w:r w:rsidRPr="00451703">
        <w:rPr>
          <w:b/>
          <w:bCs/>
          <w:i w:val="0"/>
          <w:iCs w:val="0"/>
          <w:color w:val="auto"/>
          <w:sz w:val="20"/>
          <w:szCs w:val="20"/>
        </w:rPr>
        <w:instrText xml:space="preserve"> SEQ Table \* ARABIC </w:instrText>
      </w:r>
      <w:r w:rsidRPr="00451703">
        <w:rPr>
          <w:b/>
          <w:bCs/>
          <w:i w:val="0"/>
          <w:iCs w:val="0"/>
          <w:color w:val="auto"/>
          <w:sz w:val="20"/>
          <w:szCs w:val="20"/>
        </w:rPr>
        <w:fldChar w:fldCharType="separate"/>
      </w:r>
      <w:r w:rsidR="00FA21C8">
        <w:rPr>
          <w:b/>
          <w:bCs/>
          <w:i w:val="0"/>
          <w:iCs w:val="0"/>
          <w:noProof/>
          <w:color w:val="auto"/>
          <w:sz w:val="20"/>
          <w:szCs w:val="20"/>
        </w:rPr>
        <w:t>6</w:t>
      </w:r>
      <w:r w:rsidRPr="00451703">
        <w:rPr>
          <w:b/>
          <w:bCs/>
          <w:i w:val="0"/>
          <w:iCs w:val="0"/>
          <w:color w:val="auto"/>
          <w:sz w:val="20"/>
          <w:szCs w:val="20"/>
        </w:rPr>
        <w:fldChar w:fldCharType="end"/>
      </w:r>
      <w:r w:rsidRPr="00451703">
        <w:rPr>
          <w:b/>
          <w:bCs/>
          <w:i w:val="0"/>
          <w:iCs w:val="0"/>
          <w:color w:val="auto"/>
          <w:sz w:val="20"/>
          <w:szCs w:val="20"/>
        </w:rPr>
        <w:t xml:space="preserve"> </w:t>
      </w:r>
      <w:proofErr w:type="spellStart"/>
      <w:r w:rsidRPr="00451703">
        <w:rPr>
          <w:b/>
          <w:bCs/>
          <w:i w:val="0"/>
          <w:iCs w:val="0"/>
          <w:color w:val="auto"/>
          <w:sz w:val="20"/>
          <w:szCs w:val="20"/>
        </w:rPr>
        <w:t>European</w:t>
      </w:r>
      <w:proofErr w:type="spellEnd"/>
      <w:r w:rsidRPr="00451703">
        <w:rPr>
          <w:b/>
          <w:bCs/>
          <w:i w:val="0"/>
          <w:iCs w:val="0"/>
          <w:color w:val="auto"/>
          <w:sz w:val="20"/>
          <w:szCs w:val="20"/>
        </w:rPr>
        <w:t xml:space="preserve"> patent </w:t>
      </w:r>
      <w:proofErr w:type="spellStart"/>
      <w:r w:rsidRPr="00451703">
        <w:rPr>
          <w:b/>
          <w:bCs/>
          <w:i w:val="0"/>
          <w:iCs w:val="0"/>
          <w:color w:val="auto"/>
          <w:sz w:val="20"/>
          <w:szCs w:val="20"/>
        </w:rPr>
        <w:t>applications</w:t>
      </w:r>
      <w:proofErr w:type="spellEnd"/>
      <w:r w:rsidRPr="00451703">
        <w:rPr>
          <w:b/>
          <w:bCs/>
          <w:i w:val="0"/>
          <w:iCs w:val="0"/>
          <w:color w:val="auto"/>
          <w:sz w:val="20"/>
          <w:szCs w:val="20"/>
        </w:rPr>
        <w:t xml:space="preserve"> per </w:t>
      </w:r>
      <w:proofErr w:type="spellStart"/>
      <w:r w:rsidRPr="00451703">
        <w:rPr>
          <w:b/>
          <w:bCs/>
          <w:i w:val="0"/>
          <w:iCs w:val="0"/>
          <w:color w:val="auto"/>
          <w:sz w:val="20"/>
          <w:szCs w:val="20"/>
        </w:rPr>
        <w:t>million</w:t>
      </w:r>
      <w:proofErr w:type="spellEnd"/>
      <w:r w:rsidRPr="00451703">
        <w:rPr>
          <w:b/>
          <w:bCs/>
          <w:i w:val="0"/>
          <w:iCs w:val="0"/>
          <w:color w:val="auto"/>
          <w:sz w:val="20"/>
          <w:szCs w:val="20"/>
        </w:rPr>
        <w:t xml:space="preserve"> </w:t>
      </w:r>
      <w:proofErr w:type="spellStart"/>
      <w:r w:rsidRPr="00451703">
        <w:rPr>
          <w:b/>
          <w:bCs/>
          <w:i w:val="0"/>
          <w:iCs w:val="0"/>
          <w:color w:val="auto"/>
          <w:sz w:val="20"/>
          <w:szCs w:val="20"/>
        </w:rPr>
        <w:t>population</w:t>
      </w:r>
      <w:bookmarkEnd w:id="47"/>
      <w:proofErr w:type="spellEnd"/>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EF6397" w:rsidRPr="00EF6397" w14:paraId="0B0BCE55" w14:textId="77777777" w:rsidTr="00583C16">
        <w:trPr>
          <w:trHeight w:val="290"/>
        </w:trPr>
        <w:tc>
          <w:tcPr>
            <w:tcW w:w="960" w:type="dxa"/>
            <w:shd w:val="clear" w:color="auto" w:fill="auto"/>
            <w:vAlign w:val="bottom"/>
            <w:hideMark/>
          </w:tcPr>
          <w:p w14:paraId="54F9568C" w14:textId="3B49EF1A" w:rsidR="00EF6397" w:rsidRPr="00EF6397" w:rsidRDefault="00EF6397" w:rsidP="00EF6397">
            <w:pPr>
              <w:spacing w:after="0" w:line="240" w:lineRule="auto"/>
              <w:rPr>
                <w:rFonts w:eastAsia="Times New Roman" w:cs="Calibri"/>
                <w:b/>
                <w:bCs/>
                <w:lang w:eastAsia="sk-SK"/>
              </w:rPr>
            </w:pPr>
          </w:p>
        </w:tc>
        <w:tc>
          <w:tcPr>
            <w:tcW w:w="960" w:type="dxa"/>
            <w:shd w:val="clear" w:color="26466D" w:fill="26466D"/>
            <w:vAlign w:val="bottom"/>
            <w:hideMark/>
          </w:tcPr>
          <w:p w14:paraId="7C7A1FCF"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2019</w:t>
            </w:r>
          </w:p>
        </w:tc>
        <w:tc>
          <w:tcPr>
            <w:tcW w:w="960" w:type="dxa"/>
            <w:shd w:val="clear" w:color="26466D" w:fill="26466D"/>
            <w:vAlign w:val="bottom"/>
            <w:hideMark/>
          </w:tcPr>
          <w:p w14:paraId="74233810"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2020</w:t>
            </w:r>
          </w:p>
        </w:tc>
        <w:tc>
          <w:tcPr>
            <w:tcW w:w="960" w:type="dxa"/>
            <w:shd w:val="clear" w:color="26466D" w:fill="26466D"/>
            <w:vAlign w:val="bottom"/>
            <w:hideMark/>
          </w:tcPr>
          <w:p w14:paraId="062AC55D"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2021</w:t>
            </w:r>
          </w:p>
        </w:tc>
        <w:tc>
          <w:tcPr>
            <w:tcW w:w="960" w:type="dxa"/>
            <w:shd w:val="clear" w:color="26466D" w:fill="26466D"/>
            <w:vAlign w:val="bottom"/>
            <w:hideMark/>
          </w:tcPr>
          <w:p w14:paraId="31E22487"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2022</w:t>
            </w:r>
          </w:p>
        </w:tc>
        <w:tc>
          <w:tcPr>
            <w:tcW w:w="960" w:type="dxa"/>
            <w:shd w:val="clear" w:color="26466D" w:fill="26466D"/>
            <w:vAlign w:val="bottom"/>
            <w:hideMark/>
          </w:tcPr>
          <w:p w14:paraId="4BA01B2B"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2023</w:t>
            </w:r>
          </w:p>
        </w:tc>
        <w:tc>
          <w:tcPr>
            <w:tcW w:w="960" w:type="dxa"/>
            <w:shd w:val="clear" w:color="26466D" w:fill="26466D"/>
            <w:vAlign w:val="bottom"/>
            <w:hideMark/>
          </w:tcPr>
          <w:p w14:paraId="583F2F70" w14:textId="77777777" w:rsidR="00EF6397" w:rsidRPr="00EF6397" w:rsidRDefault="00EF6397" w:rsidP="00EF6397">
            <w:pPr>
              <w:spacing w:after="0" w:line="240" w:lineRule="auto"/>
              <w:jc w:val="right"/>
              <w:rPr>
                <w:rFonts w:eastAsia="Times New Roman" w:cs="Calibri"/>
                <w:b/>
                <w:bCs/>
                <w:color w:val="FFFFFF"/>
                <w:lang w:eastAsia="sk-SK"/>
              </w:rPr>
            </w:pPr>
            <w:r w:rsidRPr="00EF6397">
              <w:rPr>
                <w:rFonts w:eastAsia="Times New Roman" w:cs="Calibri"/>
                <w:b/>
                <w:bCs/>
                <w:color w:val="FFFFFF"/>
                <w:lang w:eastAsia="sk-SK"/>
              </w:rPr>
              <w:t>2024</w:t>
            </w:r>
          </w:p>
        </w:tc>
      </w:tr>
      <w:tr w:rsidR="00EF6397" w:rsidRPr="00EF6397" w14:paraId="369DF569" w14:textId="77777777" w:rsidTr="00583C16">
        <w:trPr>
          <w:trHeight w:val="290"/>
        </w:trPr>
        <w:tc>
          <w:tcPr>
            <w:tcW w:w="960" w:type="dxa"/>
            <w:shd w:val="clear" w:color="auto" w:fill="auto"/>
            <w:vAlign w:val="bottom"/>
            <w:hideMark/>
          </w:tcPr>
          <w:p w14:paraId="5EF742E8"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AT</w:t>
            </w:r>
          </w:p>
        </w:tc>
        <w:tc>
          <w:tcPr>
            <w:tcW w:w="960" w:type="dxa"/>
            <w:shd w:val="clear" w:color="auto" w:fill="auto"/>
            <w:noWrap/>
            <w:vAlign w:val="bottom"/>
            <w:hideMark/>
          </w:tcPr>
          <w:p w14:paraId="4ECEA8AE"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257,43</w:t>
            </w:r>
          </w:p>
        </w:tc>
        <w:tc>
          <w:tcPr>
            <w:tcW w:w="960" w:type="dxa"/>
            <w:shd w:val="clear" w:color="auto" w:fill="auto"/>
            <w:noWrap/>
            <w:vAlign w:val="bottom"/>
            <w:hideMark/>
          </w:tcPr>
          <w:p w14:paraId="6929F25A"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253,05</w:t>
            </w:r>
          </w:p>
        </w:tc>
        <w:tc>
          <w:tcPr>
            <w:tcW w:w="960" w:type="dxa"/>
            <w:shd w:val="clear" w:color="auto" w:fill="auto"/>
            <w:noWrap/>
            <w:vAlign w:val="bottom"/>
            <w:hideMark/>
          </w:tcPr>
          <w:p w14:paraId="09434A0E"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253,37</w:t>
            </w:r>
          </w:p>
        </w:tc>
        <w:tc>
          <w:tcPr>
            <w:tcW w:w="960" w:type="dxa"/>
            <w:shd w:val="clear" w:color="auto" w:fill="auto"/>
            <w:noWrap/>
            <w:vAlign w:val="bottom"/>
            <w:hideMark/>
          </w:tcPr>
          <w:p w14:paraId="757CA904"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261,28</w:t>
            </w:r>
          </w:p>
        </w:tc>
        <w:tc>
          <w:tcPr>
            <w:tcW w:w="960" w:type="dxa"/>
            <w:shd w:val="clear" w:color="auto" w:fill="auto"/>
            <w:noWrap/>
            <w:vAlign w:val="bottom"/>
            <w:hideMark/>
          </w:tcPr>
          <w:p w14:paraId="4A6CE58E"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255,90</w:t>
            </w:r>
          </w:p>
        </w:tc>
        <w:tc>
          <w:tcPr>
            <w:tcW w:w="960" w:type="dxa"/>
            <w:shd w:val="clear" w:color="auto" w:fill="auto"/>
            <w:noWrap/>
            <w:vAlign w:val="bottom"/>
            <w:hideMark/>
          </w:tcPr>
          <w:p w14:paraId="4EAF5007"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235,49</w:t>
            </w:r>
          </w:p>
        </w:tc>
      </w:tr>
      <w:tr w:rsidR="00EF6397" w:rsidRPr="00EF6397" w14:paraId="5F40940E" w14:textId="77777777" w:rsidTr="00583C16">
        <w:trPr>
          <w:trHeight w:val="290"/>
        </w:trPr>
        <w:tc>
          <w:tcPr>
            <w:tcW w:w="960" w:type="dxa"/>
            <w:shd w:val="clear" w:color="auto" w:fill="auto"/>
            <w:vAlign w:val="bottom"/>
            <w:hideMark/>
          </w:tcPr>
          <w:p w14:paraId="64DC80F4"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BA</w:t>
            </w:r>
          </w:p>
        </w:tc>
        <w:tc>
          <w:tcPr>
            <w:tcW w:w="960" w:type="dxa"/>
            <w:shd w:val="clear" w:color="auto" w:fill="auto"/>
            <w:noWrap/>
            <w:vAlign w:val="bottom"/>
            <w:hideMark/>
          </w:tcPr>
          <w:p w14:paraId="7A4BF93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0,64</w:t>
            </w:r>
          </w:p>
        </w:tc>
        <w:tc>
          <w:tcPr>
            <w:tcW w:w="960" w:type="dxa"/>
            <w:shd w:val="clear" w:color="auto" w:fill="auto"/>
            <w:noWrap/>
            <w:vAlign w:val="bottom"/>
            <w:hideMark/>
          </w:tcPr>
          <w:p w14:paraId="4FA588E1"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1,27</w:t>
            </w:r>
          </w:p>
        </w:tc>
        <w:tc>
          <w:tcPr>
            <w:tcW w:w="960" w:type="dxa"/>
            <w:shd w:val="clear" w:color="auto" w:fill="auto"/>
            <w:noWrap/>
            <w:vAlign w:val="bottom"/>
            <w:hideMark/>
          </w:tcPr>
          <w:p w14:paraId="1C80F2F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0,32</w:t>
            </w:r>
          </w:p>
        </w:tc>
        <w:tc>
          <w:tcPr>
            <w:tcW w:w="960" w:type="dxa"/>
            <w:shd w:val="clear" w:color="auto" w:fill="auto"/>
            <w:noWrap/>
            <w:vAlign w:val="bottom"/>
            <w:hideMark/>
          </w:tcPr>
          <w:p w14:paraId="19F67FD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2,23</w:t>
            </w:r>
          </w:p>
        </w:tc>
        <w:tc>
          <w:tcPr>
            <w:tcW w:w="960" w:type="dxa"/>
            <w:shd w:val="clear" w:color="auto" w:fill="auto"/>
            <w:noWrap/>
            <w:vAlign w:val="bottom"/>
            <w:hideMark/>
          </w:tcPr>
          <w:p w14:paraId="20925FB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2,55</w:t>
            </w:r>
          </w:p>
        </w:tc>
        <w:tc>
          <w:tcPr>
            <w:tcW w:w="960" w:type="dxa"/>
            <w:shd w:val="clear" w:color="auto" w:fill="auto"/>
            <w:noWrap/>
            <w:vAlign w:val="bottom"/>
            <w:hideMark/>
          </w:tcPr>
          <w:p w14:paraId="2A6E29A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1,91</w:t>
            </w:r>
          </w:p>
        </w:tc>
      </w:tr>
      <w:tr w:rsidR="00EF6397" w:rsidRPr="00EF6397" w14:paraId="71AB0C8B" w14:textId="77777777" w:rsidTr="00583C16">
        <w:trPr>
          <w:trHeight w:val="290"/>
        </w:trPr>
        <w:tc>
          <w:tcPr>
            <w:tcW w:w="960" w:type="dxa"/>
            <w:shd w:val="clear" w:color="auto" w:fill="auto"/>
            <w:vAlign w:val="bottom"/>
            <w:hideMark/>
          </w:tcPr>
          <w:p w14:paraId="4B7CB341"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BG</w:t>
            </w:r>
          </w:p>
        </w:tc>
        <w:tc>
          <w:tcPr>
            <w:tcW w:w="960" w:type="dxa"/>
            <w:shd w:val="clear" w:color="auto" w:fill="auto"/>
            <w:noWrap/>
            <w:vAlign w:val="bottom"/>
            <w:hideMark/>
          </w:tcPr>
          <w:p w14:paraId="09F59A1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5,21</w:t>
            </w:r>
          </w:p>
        </w:tc>
        <w:tc>
          <w:tcPr>
            <w:tcW w:w="960" w:type="dxa"/>
            <w:shd w:val="clear" w:color="auto" w:fill="auto"/>
            <w:noWrap/>
            <w:vAlign w:val="bottom"/>
            <w:hideMark/>
          </w:tcPr>
          <w:p w14:paraId="2E25E151"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8,04</w:t>
            </w:r>
          </w:p>
        </w:tc>
        <w:tc>
          <w:tcPr>
            <w:tcW w:w="960" w:type="dxa"/>
            <w:shd w:val="clear" w:color="auto" w:fill="auto"/>
            <w:noWrap/>
            <w:vAlign w:val="bottom"/>
            <w:hideMark/>
          </w:tcPr>
          <w:p w14:paraId="7E419C4A"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6,40</w:t>
            </w:r>
          </w:p>
        </w:tc>
        <w:tc>
          <w:tcPr>
            <w:tcW w:w="960" w:type="dxa"/>
            <w:shd w:val="clear" w:color="auto" w:fill="auto"/>
            <w:noWrap/>
            <w:vAlign w:val="bottom"/>
            <w:hideMark/>
          </w:tcPr>
          <w:p w14:paraId="3615C81B"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6,85</w:t>
            </w:r>
          </w:p>
        </w:tc>
        <w:tc>
          <w:tcPr>
            <w:tcW w:w="960" w:type="dxa"/>
            <w:shd w:val="clear" w:color="auto" w:fill="auto"/>
            <w:noWrap/>
            <w:vAlign w:val="bottom"/>
            <w:hideMark/>
          </w:tcPr>
          <w:p w14:paraId="7CAA8C2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6,11</w:t>
            </w:r>
          </w:p>
        </w:tc>
        <w:tc>
          <w:tcPr>
            <w:tcW w:w="960" w:type="dxa"/>
            <w:shd w:val="clear" w:color="auto" w:fill="auto"/>
            <w:noWrap/>
            <w:vAlign w:val="bottom"/>
            <w:hideMark/>
          </w:tcPr>
          <w:p w14:paraId="35CF6D90"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7,89</w:t>
            </w:r>
          </w:p>
        </w:tc>
      </w:tr>
      <w:tr w:rsidR="00EF6397" w:rsidRPr="00EF6397" w14:paraId="4BBDFC71" w14:textId="77777777" w:rsidTr="00583C16">
        <w:trPr>
          <w:trHeight w:val="290"/>
        </w:trPr>
        <w:tc>
          <w:tcPr>
            <w:tcW w:w="960" w:type="dxa"/>
            <w:shd w:val="clear" w:color="auto" w:fill="auto"/>
            <w:vAlign w:val="bottom"/>
            <w:hideMark/>
          </w:tcPr>
          <w:p w14:paraId="4A0D2B87"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CZ</w:t>
            </w:r>
          </w:p>
        </w:tc>
        <w:tc>
          <w:tcPr>
            <w:tcW w:w="960" w:type="dxa"/>
            <w:shd w:val="clear" w:color="auto" w:fill="auto"/>
            <w:noWrap/>
            <w:vAlign w:val="bottom"/>
            <w:hideMark/>
          </w:tcPr>
          <w:p w14:paraId="764BBDC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19,13</w:t>
            </w:r>
          </w:p>
        </w:tc>
        <w:tc>
          <w:tcPr>
            <w:tcW w:w="960" w:type="dxa"/>
            <w:shd w:val="clear" w:color="auto" w:fill="auto"/>
            <w:noWrap/>
            <w:vAlign w:val="bottom"/>
            <w:hideMark/>
          </w:tcPr>
          <w:p w14:paraId="52BC25B4"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19,42</w:t>
            </w:r>
          </w:p>
        </w:tc>
        <w:tc>
          <w:tcPr>
            <w:tcW w:w="960" w:type="dxa"/>
            <w:shd w:val="clear" w:color="auto" w:fill="auto"/>
            <w:noWrap/>
            <w:vAlign w:val="bottom"/>
            <w:hideMark/>
          </w:tcPr>
          <w:p w14:paraId="16FF3D0A"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18,95</w:t>
            </w:r>
          </w:p>
        </w:tc>
        <w:tc>
          <w:tcPr>
            <w:tcW w:w="960" w:type="dxa"/>
            <w:shd w:val="clear" w:color="auto" w:fill="auto"/>
            <w:noWrap/>
            <w:vAlign w:val="bottom"/>
            <w:hideMark/>
          </w:tcPr>
          <w:p w14:paraId="58D5698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20,93</w:t>
            </w:r>
          </w:p>
        </w:tc>
        <w:tc>
          <w:tcPr>
            <w:tcW w:w="960" w:type="dxa"/>
            <w:shd w:val="clear" w:color="auto" w:fill="auto"/>
            <w:noWrap/>
            <w:vAlign w:val="bottom"/>
            <w:hideMark/>
          </w:tcPr>
          <w:p w14:paraId="0E3DF8B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22,53</w:t>
            </w:r>
          </w:p>
        </w:tc>
        <w:tc>
          <w:tcPr>
            <w:tcW w:w="960" w:type="dxa"/>
            <w:shd w:val="clear" w:color="auto" w:fill="auto"/>
            <w:noWrap/>
            <w:vAlign w:val="bottom"/>
            <w:hideMark/>
          </w:tcPr>
          <w:p w14:paraId="7A7A9549"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23,75</w:t>
            </w:r>
          </w:p>
        </w:tc>
      </w:tr>
      <w:tr w:rsidR="00EF6397" w:rsidRPr="00EF6397" w14:paraId="43D9C01D" w14:textId="77777777" w:rsidTr="00583C16">
        <w:trPr>
          <w:trHeight w:val="290"/>
        </w:trPr>
        <w:tc>
          <w:tcPr>
            <w:tcW w:w="960" w:type="dxa"/>
            <w:shd w:val="clear" w:color="auto" w:fill="auto"/>
            <w:vAlign w:val="bottom"/>
            <w:hideMark/>
          </w:tcPr>
          <w:p w14:paraId="528A5CAE"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DE</w:t>
            </w:r>
          </w:p>
        </w:tc>
        <w:tc>
          <w:tcPr>
            <w:tcW w:w="960" w:type="dxa"/>
            <w:shd w:val="clear" w:color="auto" w:fill="auto"/>
            <w:noWrap/>
            <w:vAlign w:val="bottom"/>
            <w:hideMark/>
          </w:tcPr>
          <w:p w14:paraId="2112730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318,31</w:t>
            </w:r>
          </w:p>
        </w:tc>
        <w:tc>
          <w:tcPr>
            <w:tcW w:w="960" w:type="dxa"/>
            <w:shd w:val="clear" w:color="auto" w:fill="auto"/>
            <w:noWrap/>
            <w:vAlign w:val="bottom"/>
            <w:hideMark/>
          </w:tcPr>
          <w:p w14:paraId="5BD48C84"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307,84</w:t>
            </w:r>
          </w:p>
        </w:tc>
        <w:tc>
          <w:tcPr>
            <w:tcW w:w="960" w:type="dxa"/>
            <w:shd w:val="clear" w:color="auto" w:fill="auto"/>
            <w:noWrap/>
            <w:vAlign w:val="bottom"/>
            <w:hideMark/>
          </w:tcPr>
          <w:p w14:paraId="041F992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307,95</w:t>
            </w:r>
          </w:p>
        </w:tc>
        <w:tc>
          <w:tcPr>
            <w:tcW w:w="960" w:type="dxa"/>
            <w:shd w:val="clear" w:color="auto" w:fill="auto"/>
            <w:noWrap/>
            <w:vAlign w:val="bottom"/>
            <w:hideMark/>
          </w:tcPr>
          <w:p w14:paraId="4B42D737"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292,74</w:t>
            </w:r>
          </w:p>
        </w:tc>
        <w:tc>
          <w:tcPr>
            <w:tcW w:w="960" w:type="dxa"/>
            <w:shd w:val="clear" w:color="auto" w:fill="auto"/>
            <w:noWrap/>
            <w:vAlign w:val="bottom"/>
            <w:hideMark/>
          </w:tcPr>
          <w:p w14:paraId="5E472A5A"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296,66</w:t>
            </w:r>
          </w:p>
        </w:tc>
        <w:tc>
          <w:tcPr>
            <w:tcW w:w="960" w:type="dxa"/>
            <w:shd w:val="clear" w:color="auto" w:fill="auto"/>
            <w:noWrap/>
            <w:vAlign w:val="bottom"/>
            <w:hideMark/>
          </w:tcPr>
          <w:p w14:paraId="6B30A29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297,75</w:t>
            </w:r>
          </w:p>
        </w:tc>
      </w:tr>
      <w:tr w:rsidR="00EF6397" w:rsidRPr="00EF6397" w14:paraId="1A1FEF05" w14:textId="77777777" w:rsidTr="00583C16">
        <w:trPr>
          <w:trHeight w:val="290"/>
        </w:trPr>
        <w:tc>
          <w:tcPr>
            <w:tcW w:w="960" w:type="dxa"/>
            <w:shd w:val="clear" w:color="auto" w:fill="auto"/>
            <w:vAlign w:val="bottom"/>
            <w:hideMark/>
          </w:tcPr>
          <w:p w14:paraId="13ABE2CB"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HR</w:t>
            </w:r>
          </w:p>
        </w:tc>
        <w:tc>
          <w:tcPr>
            <w:tcW w:w="960" w:type="dxa"/>
            <w:shd w:val="clear" w:color="auto" w:fill="auto"/>
            <w:noWrap/>
            <w:vAlign w:val="bottom"/>
            <w:hideMark/>
          </w:tcPr>
          <w:p w14:paraId="4428397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4,94</w:t>
            </w:r>
          </w:p>
        </w:tc>
        <w:tc>
          <w:tcPr>
            <w:tcW w:w="960" w:type="dxa"/>
            <w:shd w:val="clear" w:color="auto" w:fill="auto"/>
            <w:noWrap/>
            <w:vAlign w:val="bottom"/>
            <w:hideMark/>
          </w:tcPr>
          <w:p w14:paraId="5630B0F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5,98</w:t>
            </w:r>
          </w:p>
        </w:tc>
        <w:tc>
          <w:tcPr>
            <w:tcW w:w="960" w:type="dxa"/>
            <w:shd w:val="clear" w:color="auto" w:fill="auto"/>
            <w:noWrap/>
            <w:vAlign w:val="bottom"/>
            <w:hideMark/>
          </w:tcPr>
          <w:p w14:paraId="2502CD4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7,02</w:t>
            </w:r>
          </w:p>
        </w:tc>
        <w:tc>
          <w:tcPr>
            <w:tcW w:w="960" w:type="dxa"/>
            <w:shd w:val="clear" w:color="auto" w:fill="auto"/>
            <w:noWrap/>
            <w:vAlign w:val="bottom"/>
            <w:hideMark/>
          </w:tcPr>
          <w:p w14:paraId="778AD25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8,32</w:t>
            </w:r>
          </w:p>
        </w:tc>
        <w:tc>
          <w:tcPr>
            <w:tcW w:w="960" w:type="dxa"/>
            <w:shd w:val="clear" w:color="auto" w:fill="auto"/>
            <w:noWrap/>
            <w:vAlign w:val="bottom"/>
            <w:hideMark/>
          </w:tcPr>
          <w:p w14:paraId="23B37B58"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13,51</w:t>
            </w:r>
          </w:p>
        </w:tc>
        <w:tc>
          <w:tcPr>
            <w:tcW w:w="960" w:type="dxa"/>
            <w:shd w:val="clear" w:color="auto" w:fill="auto"/>
            <w:noWrap/>
            <w:vAlign w:val="bottom"/>
            <w:hideMark/>
          </w:tcPr>
          <w:p w14:paraId="378F93A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10,65</w:t>
            </w:r>
          </w:p>
        </w:tc>
      </w:tr>
      <w:tr w:rsidR="00EF6397" w:rsidRPr="00EF6397" w14:paraId="4E4F4DF2" w14:textId="77777777" w:rsidTr="00583C16">
        <w:trPr>
          <w:trHeight w:val="290"/>
        </w:trPr>
        <w:tc>
          <w:tcPr>
            <w:tcW w:w="960" w:type="dxa"/>
            <w:shd w:val="clear" w:color="auto" w:fill="auto"/>
            <w:vAlign w:val="bottom"/>
            <w:hideMark/>
          </w:tcPr>
          <w:p w14:paraId="562150A2"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HU</w:t>
            </w:r>
          </w:p>
        </w:tc>
        <w:tc>
          <w:tcPr>
            <w:tcW w:w="960" w:type="dxa"/>
            <w:shd w:val="clear" w:color="auto" w:fill="auto"/>
            <w:noWrap/>
            <w:vAlign w:val="bottom"/>
            <w:hideMark/>
          </w:tcPr>
          <w:p w14:paraId="571F2B1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10,07</w:t>
            </w:r>
          </w:p>
        </w:tc>
        <w:tc>
          <w:tcPr>
            <w:tcW w:w="960" w:type="dxa"/>
            <w:shd w:val="clear" w:color="auto" w:fill="auto"/>
            <w:noWrap/>
            <w:vAlign w:val="bottom"/>
            <w:hideMark/>
          </w:tcPr>
          <w:p w14:paraId="61C431A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11,32</w:t>
            </w:r>
          </w:p>
        </w:tc>
        <w:tc>
          <w:tcPr>
            <w:tcW w:w="960" w:type="dxa"/>
            <w:shd w:val="clear" w:color="auto" w:fill="auto"/>
            <w:noWrap/>
            <w:vAlign w:val="bottom"/>
            <w:hideMark/>
          </w:tcPr>
          <w:p w14:paraId="3EB26F0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12,35</w:t>
            </w:r>
          </w:p>
        </w:tc>
        <w:tc>
          <w:tcPr>
            <w:tcW w:w="960" w:type="dxa"/>
            <w:shd w:val="clear" w:color="auto" w:fill="auto"/>
            <w:noWrap/>
            <w:vAlign w:val="bottom"/>
            <w:hideMark/>
          </w:tcPr>
          <w:p w14:paraId="5E5AF7D9"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10,80</w:t>
            </w:r>
          </w:p>
        </w:tc>
        <w:tc>
          <w:tcPr>
            <w:tcW w:w="960" w:type="dxa"/>
            <w:shd w:val="clear" w:color="auto" w:fill="auto"/>
            <w:noWrap/>
            <w:vAlign w:val="bottom"/>
            <w:hideMark/>
          </w:tcPr>
          <w:p w14:paraId="62E32D8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11,32</w:t>
            </w:r>
          </w:p>
        </w:tc>
        <w:tc>
          <w:tcPr>
            <w:tcW w:w="960" w:type="dxa"/>
            <w:shd w:val="clear" w:color="auto" w:fill="auto"/>
            <w:noWrap/>
            <w:vAlign w:val="bottom"/>
            <w:hideMark/>
          </w:tcPr>
          <w:p w14:paraId="40566AE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14,43</w:t>
            </w:r>
          </w:p>
        </w:tc>
      </w:tr>
      <w:tr w:rsidR="00EF6397" w:rsidRPr="00EF6397" w14:paraId="436E3903" w14:textId="77777777" w:rsidTr="00583C16">
        <w:trPr>
          <w:trHeight w:val="290"/>
        </w:trPr>
        <w:tc>
          <w:tcPr>
            <w:tcW w:w="960" w:type="dxa"/>
            <w:shd w:val="clear" w:color="auto" w:fill="auto"/>
            <w:vAlign w:val="bottom"/>
            <w:hideMark/>
          </w:tcPr>
          <w:p w14:paraId="536E21B1"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MD</w:t>
            </w:r>
          </w:p>
        </w:tc>
        <w:tc>
          <w:tcPr>
            <w:tcW w:w="960" w:type="dxa"/>
            <w:shd w:val="clear" w:color="auto" w:fill="auto"/>
            <w:noWrap/>
            <w:vAlign w:val="bottom"/>
            <w:hideMark/>
          </w:tcPr>
          <w:p w14:paraId="430F68E7"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0,67</w:t>
            </w:r>
          </w:p>
        </w:tc>
        <w:tc>
          <w:tcPr>
            <w:tcW w:w="960" w:type="dxa"/>
            <w:shd w:val="clear" w:color="auto" w:fill="auto"/>
            <w:noWrap/>
            <w:vAlign w:val="bottom"/>
            <w:hideMark/>
          </w:tcPr>
          <w:p w14:paraId="41384B7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0,33</w:t>
            </w:r>
          </w:p>
        </w:tc>
        <w:tc>
          <w:tcPr>
            <w:tcW w:w="960" w:type="dxa"/>
            <w:shd w:val="clear" w:color="auto" w:fill="auto"/>
            <w:noWrap/>
            <w:vAlign w:val="bottom"/>
            <w:hideMark/>
          </w:tcPr>
          <w:p w14:paraId="27B332FA"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1,00</w:t>
            </w:r>
          </w:p>
        </w:tc>
        <w:tc>
          <w:tcPr>
            <w:tcW w:w="960" w:type="dxa"/>
            <w:shd w:val="clear" w:color="auto" w:fill="auto"/>
            <w:noWrap/>
            <w:vAlign w:val="bottom"/>
            <w:hideMark/>
          </w:tcPr>
          <w:p w14:paraId="20B75D24"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0,00</w:t>
            </w:r>
          </w:p>
        </w:tc>
        <w:tc>
          <w:tcPr>
            <w:tcW w:w="960" w:type="dxa"/>
            <w:shd w:val="clear" w:color="auto" w:fill="auto"/>
            <w:noWrap/>
            <w:vAlign w:val="bottom"/>
            <w:hideMark/>
          </w:tcPr>
          <w:p w14:paraId="357CEA0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0,00</w:t>
            </w:r>
          </w:p>
        </w:tc>
        <w:tc>
          <w:tcPr>
            <w:tcW w:w="960" w:type="dxa"/>
            <w:shd w:val="clear" w:color="auto" w:fill="auto"/>
            <w:noWrap/>
            <w:vAlign w:val="bottom"/>
            <w:hideMark/>
          </w:tcPr>
          <w:p w14:paraId="142AA7A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1,00</w:t>
            </w:r>
          </w:p>
        </w:tc>
      </w:tr>
      <w:tr w:rsidR="00EF6397" w:rsidRPr="00EF6397" w14:paraId="12EFE1C7" w14:textId="77777777" w:rsidTr="00583C16">
        <w:trPr>
          <w:trHeight w:val="290"/>
        </w:trPr>
        <w:tc>
          <w:tcPr>
            <w:tcW w:w="960" w:type="dxa"/>
            <w:shd w:val="clear" w:color="auto" w:fill="auto"/>
            <w:vAlign w:val="bottom"/>
            <w:hideMark/>
          </w:tcPr>
          <w:p w14:paraId="768DFA48"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ME</w:t>
            </w:r>
          </w:p>
        </w:tc>
        <w:tc>
          <w:tcPr>
            <w:tcW w:w="960" w:type="dxa"/>
            <w:shd w:val="clear" w:color="auto" w:fill="auto"/>
            <w:noWrap/>
            <w:vAlign w:val="bottom"/>
            <w:hideMark/>
          </w:tcPr>
          <w:p w14:paraId="3FC7A65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0,00</w:t>
            </w:r>
          </w:p>
        </w:tc>
        <w:tc>
          <w:tcPr>
            <w:tcW w:w="960" w:type="dxa"/>
            <w:shd w:val="clear" w:color="auto" w:fill="auto"/>
            <w:noWrap/>
            <w:vAlign w:val="bottom"/>
            <w:hideMark/>
          </w:tcPr>
          <w:p w14:paraId="694495E4"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3,16</w:t>
            </w:r>
          </w:p>
        </w:tc>
        <w:tc>
          <w:tcPr>
            <w:tcW w:w="960" w:type="dxa"/>
            <w:shd w:val="clear" w:color="auto" w:fill="auto"/>
            <w:noWrap/>
            <w:vAlign w:val="bottom"/>
            <w:hideMark/>
          </w:tcPr>
          <w:p w14:paraId="0737409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1,58</w:t>
            </w:r>
          </w:p>
        </w:tc>
        <w:tc>
          <w:tcPr>
            <w:tcW w:w="960" w:type="dxa"/>
            <w:shd w:val="clear" w:color="auto" w:fill="auto"/>
            <w:noWrap/>
            <w:vAlign w:val="bottom"/>
            <w:hideMark/>
          </w:tcPr>
          <w:p w14:paraId="6DB4D45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0,00</w:t>
            </w:r>
          </w:p>
        </w:tc>
        <w:tc>
          <w:tcPr>
            <w:tcW w:w="960" w:type="dxa"/>
            <w:shd w:val="clear" w:color="auto" w:fill="auto"/>
            <w:noWrap/>
            <w:vAlign w:val="bottom"/>
            <w:hideMark/>
          </w:tcPr>
          <w:p w14:paraId="4D43DDE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0,00</w:t>
            </w:r>
          </w:p>
        </w:tc>
        <w:tc>
          <w:tcPr>
            <w:tcW w:w="960" w:type="dxa"/>
            <w:shd w:val="clear" w:color="auto" w:fill="auto"/>
            <w:noWrap/>
            <w:vAlign w:val="bottom"/>
            <w:hideMark/>
          </w:tcPr>
          <w:p w14:paraId="3FA408B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9,49</w:t>
            </w:r>
          </w:p>
        </w:tc>
      </w:tr>
      <w:tr w:rsidR="00EF6397" w:rsidRPr="00EF6397" w14:paraId="1006FE18" w14:textId="77777777" w:rsidTr="00583C16">
        <w:trPr>
          <w:trHeight w:val="290"/>
        </w:trPr>
        <w:tc>
          <w:tcPr>
            <w:tcW w:w="960" w:type="dxa"/>
            <w:shd w:val="clear" w:color="auto" w:fill="auto"/>
            <w:vAlign w:val="bottom"/>
            <w:hideMark/>
          </w:tcPr>
          <w:p w14:paraId="17B53BBA"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RO</w:t>
            </w:r>
          </w:p>
        </w:tc>
        <w:tc>
          <w:tcPr>
            <w:tcW w:w="960" w:type="dxa"/>
            <w:shd w:val="clear" w:color="auto" w:fill="auto"/>
            <w:noWrap/>
            <w:vAlign w:val="bottom"/>
            <w:hideMark/>
          </w:tcPr>
          <w:p w14:paraId="1EC11D6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2,12</w:t>
            </w:r>
          </w:p>
        </w:tc>
        <w:tc>
          <w:tcPr>
            <w:tcW w:w="960" w:type="dxa"/>
            <w:shd w:val="clear" w:color="auto" w:fill="auto"/>
            <w:noWrap/>
            <w:vAlign w:val="bottom"/>
            <w:hideMark/>
          </w:tcPr>
          <w:p w14:paraId="719188D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2,91</w:t>
            </w:r>
          </w:p>
        </w:tc>
        <w:tc>
          <w:tcPr>
            <w:tcW w:w="960" w:type="dxa"/>
            <w:shd w:val="clear" w:color="auto" w:fill="auto"/>
            <w:noWrap/>
            <w:vAlign w:val="bottom"/>
            <w:hideMark/>
          </w:tcPr>
          <w:p w14:paraId="773AFE6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1,64</w:t>
            </w:r>
          </w:p>
        </w:tc>
        <w:tc>
          <w:tcPr>
            <w:tcW w:w="960" w:type="dxa"/>
            <w:shd w:val="clear" w:color="auto" w:fill="auto"/>
            <w:noWrap/>
            <w:vAlign w:val="bottom"/>
            <w:hideMark/>
          </w:tcPr>
          <w:p w14:paraId="2D3DFFF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2,43</w:t>
            </w:r>
          </w:p>
        </w:tc>
        <w:tc>
          <w:tcPr>
            <w:tcW w:w="960" w:type="dxa"/>
            <w:shd w:val="clear" w:color="auto" w:fill="auto"/>
            <w:noWrap/>
            <w:vAlign w:val="bottom"/>
            <w:hideMark/>
          </w:tcPr>
          <w:p w14:paraId="3E929FF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2,22</w:t>
            </w:r>
          </w:p>
        </w:tc>
        <w:tc>
          <w:tcPr>
            <w:tcW w:w="960" w:type="dxa"/>
            <w:shd w:val="clear" w:color="auto" w:fill="auto"/>
            <w:noWrap/>
            <w:vAlign w:val="bottom"/>
            <w:hideMark/>
          </w:tcPr>
          <w:p w14:paraId="1A10C29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3,33</w:t>
            </w:r>
          </w:p>
        </w:tc>
      </w:tr>
      <w:tr w:rsidR="00EF6397" w:rsidRPr="00EF6397" w14:paraId="7ABA9D7B" w14:textId="77777777" w:rsidTr="00583C16">
        <w:trPr>
          <w:trHeight w:val="290"/>
        </w:trPr>
        <w:tc>
          <w:tcPr>
            <w:tcW w:w="960" w:type="dxa"/>
            <w:shd w:val="clear" w:color="auto" w:fill="auto"/>
            <w:vAlign w:val="bottom"/>
            <w:hideMark/>
          </w:tcPr>
          <w:p w14:paraId="774E9843"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RS</w:t>
            </w:r>
          </w:p>
        </w:tc>
        <w:tc>
          <w:tcPr>
            <w:tcW w:w="960" w:type="dxa"/>
            <w:shd w:val="clear" w:color="auto" w:fill="auto"/>
            <w:noWrap/>
            <w:vAlign w:val="bottom"/>
            <w:hideMark/>
          </w:tcPr>
          <w:p w14:paraId="1D342F5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1,35</w:t>
            </w:r>
          </w:p>
        </w:tc>
        <w:tc>
          <w:tcPr>
            <w:tcW w:w="960" w:type="dxa"/>
            <w:shd w:val="clear" w:color="auto" w:fill="auto"/>
            <w:noWrap/>
            <w:vAlign w:val="bottom"/>
            <w:hideMark/>
          </w:tcPr>
          <w:p w14:paraId="7609C159"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1,20</w:t>
            </w:r>
          </w:p>
        </w:tc>
        <w:tc>
          <w:tcPr>
            <w:tcW w:w="960" w:type="dxa"/>
            <w:shd w:val="clear" w:color="auto" w:fill="auto"/>
            <w:noWrap/>
            <w:vAlign w:val="bottom"/>
            <w:hideMark/>
          </w:tcPr>
          <w:p w14:paraId="6F4B66DE"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2,99</w:t>
            </w:r>
          </w:p>
        </w:tc>
        <w:tc>
          <w:tcPr>
            <w:tcW w:w="960" w:type="dxa"/>
            <w:shd w:val="clear" w:color="auto" w:fill="auto"/>
            <w:noWrap/>
            <w:vAlign w:val="bottom"/>
            <w:hideMark/>
          </w:tcPr>
          <w:p w14:paraId="3AB6567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1,94</w:t>
            </w:r>
          </w:p>
        </w:tc>
        <w:tc>
          <w:tcPr>
            <w:tcW w:w="960" w:type="dxa"/>
            <w:shd w:val="clear" w:color="auto" w:fill="auto"/>
            <w:noWrap/>
            <w:vAlign w:val="bottom"/>
            <w:hideMark/>
          </w:tcPr>
          <w:p w14:paraId="001F40B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2,09</w:t>
            </w:r>
          </w:p>
        </w:tc>
        <w:tc>
          <w:tcPr>
            <w:tcW w:w="960" w:type="dxa"/>
            <w:shd w:val="clear" w:color="auto" w:fill="auto"/>
            <w:noWrap/>
            <w:vAlign w:val="bottom"/>
            <w:hideMark/>
          </w:tcPr>
          <w:p w14:paraId="4A0346A9"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2,99</w:t>
            </w:r>
          </w:p>
        </w:tc>
      </w:tr>
      <w:tr w:rsidR="00EF6397" w:rsidRPr="00EF6397" w14:paraId="72E1A47A" w14:textId="77777777" w:rsidTr="00583C16">
        <w:trPr>
          <w:trHeight w:val="290"/>
        </w:trPr>
        <w:tc>
          <w:tcPr>
            <w:tcW w:w="960" w:type="dxa"/>
            <w:shd w:val="clear" w:color="auto" w:fill="auto"/>
            <w:vAlign w:val="bottom"/>
            <w:hideMark/>
          </w:tcPr>
          <w:p w14:paraId="643868F9"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SI</w:t>
            </w:r>
          </w:p>
        </w:tc>
        <w:tc>
          <w:tcPr>
            <w:tcW w:w="960" w:type="dxa"/>
            <w:shd w:val="clear" w:color="auto" w:fill="auto"/>
            <w:noWrap/>
            <w:vAlign w:val="bottom"/>
            <w:hideMark/>
          </w:tcPr>
          <w:p w14:paraId="63200AD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57,63</w:t>
            </w:r>
          </w:p>
        </w:tc>
        <w:tc>
          <w:tcPr>
            <w:tcW w:w="960" w:type="dxa"/>
            <w:shd w:val="clear" w:color="auto" w:fill="auto"/>
            <w:noWrap/>
            <w:vAlign w:val="bottom"/>
            <w:hideMark/>
          </w:tcPr>
          <w:p w14:paraId="5F4DF4D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77,94</w:t>
            </w:r>
          </w:p>
        </w:tc>
        <w:tc>
          <w:tcPr>
            <w:tcW w:w="960" w:type="dxa"/>
            <w:shd w:val="clear" w:color="auto" w:fill="auto"/>
            <w:noWrap/>
            <w:vAlign w:val="bottom"/>
            <w:hideMark/>
          </w:tcPr>
          <w:p w14:paraId="4CB792A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54,79</w:t>
            </w:r>
          </w:p>
        </w:tc>
        <w:tc>
          <w:tcPr>
            <w:tcW w:w="960" w:type="dxa"/>
            <w:shd w:val="clear" w:color="auto" w:fill="auto"/>
            <w:noWrap/>
            <w:vAlign w:val="bottom"/>
            <w:hideMark/>
          </w:tcPr>
          <w:p w14:paraId="39831998"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58,10</w:t>
            </w:r>
          </w:p>
        </w:tc>
        <w:tc>
          <w:tcPr>
            <w:tcW w:w="960" w:type="dxa"/>
            <w:shd w:val="clear" w:color="auto" w:fill="auto"/>
            <w:noWrap/>
            <w:vAlign w:val="bottom"/>
            <w:hideMark/>
          </w:tcPr>
          <w:p w14:paraId="7579A3C6"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72,27</w:t>
            </w:r>
          </w:p>
        </w:tc>
        <w:tc>
          <w:tcPr>
            <w:tcW w:w="960" w:type="dxa"/>
            <w:shd w:val="clear" w:color="auto" w:fill="auto"/>
            <w:noWrap/>
            <w:vAlign w:val="bottom"/>
            <w:hideMark/>
          </w:tcPr>
          <w:p w14:paraId="568CCEAD"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73,69</w:t>
            </w:r>
          </w:p>
        </w:tc>
      </w:tr>
      <w:tr w:rsidR="00EF6397" w:rsidRPr="00EF6397" w14:paraId="2F39AA65" w14:textId="77777777" w:rsidTr="00583C16">
        <w:trPr>
          <w:trHeight w:val="290"/>
        </w:trPr>
        <w:tc>
          <w:tcPr>
            <w:tcW w:w="960" w:type="dxa"/>
            <w:shd w:val="clear" w:color="auto" w:fill="auto"/>
            <w:vAlign w:val="bottom"/>
            <w:hideMark/>
          </w:tcPr>
          <w:p w14:paraId="556FD029"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SK</w:t>
            </w:r>
          </w:p>
        </w:tc>
        <w:tc>
          <w:tcPr>
            <w:tcW w:w="960" w:type="dxa"/>
            <w:shd w:val="clear" w:color="auto" w:fill="auto"/>
            <w:noWrap/>
            <w:vAlign w:val="bottom"/>
            <w:hideMark/>
          </w:tcPr>
          <w:p w14:paraId="3D9187D7"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7,67</w:t>
            </w:r>
          </w:p>
        </w:tc>
        <w:tc>
          <w:tcPr>
            <w:tcW w:w="960" w:type="dxa"/>
            <w:shd w:val="clear" w:color="auto" w:fill="auto"/>
            <w:noWrap/>
            <w:vAlign w:val="bottom"/>
            <w:hideMark/>
          </w:tcPr>
          <w:p w14:paraId="13151FD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9,86</w:t>
            </w:r>
          </w:p>
        </w:tc>
        <w:tc>
          <w:tcPr>
            <w:tcW w:w="960" w:type="dxa"/>
            <w:shd w:val="clear" w:color="auto" w:fill="auto"/>
            <w:noWrap/>
            <w:vAlign w:val="bottom"/>
            <w:hideMark/>
          </w:tcPr>
          <w:p w14:paraId="2C745C8B"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7,86</w:t>
            </w:r>
          </w:p>
        </w:tc>
        <w:tc>
          <w:tcPr>
            <w:tcW w:w="960" w:type="dxa"/>
            <w:shd w:val="clear" w:color="auto" w:fill="auto"/>
            <w:noWrap/>
            <w:vAlign w:val="bottom"/>
            <w:hideMark/>
          </w:tcPr>
          <w:p w14:paraId="070F129F"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8,77</w:t>
            </w:r>
          </w:p>
        </w:tc>
        <w:tc>
          <w:tcPr>
            <w:tcW w:w="960" w:type="dxa"/>
            <w:shd w:val="clear" w:color="auto" w:fill="auto"/>
            <w:noWrap/>
            <w:vAlign w:val="bottom"/>
            <w:hideMark/>
          </w:tcPr>
          <w:p w14:paraId="684A143C"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10,23</w:t>
            </w:r>
          </w:p>
        </w:tc>
        <w:tc>
          <w:tcPr>
            <w:tcW w:w="960" w:type="dxa"/>
            <w:shd w:val="clear" w:color="auto" w:fill="auto"/>
            <w:noWrap/>
            <w:vAlign w:val="bottom"/>
            <w:hideMark/>
          </w:tcPr>
          <w:p w14:paraId="7CF71DA8"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11,33</w:t>
            </w:r>
          </w:p>
        </w:tc>
      </w:tr>
      <w:tr w:rsidR="00EF6397" w:rsidRPr="00EF6397" w14:paraId="33AED91A" w14:textId="77777777" w:rsidTr="00583C16">
        <w:trPr>
          <w:trHeight w:val="290"/>
        </w:trPr>
        <w:tc>
          <w:tcPr>
            <w:tcW w:w="960" w:type="dxa"/>
            <w:shd w:val="clear" w:color="auto" w:fill="auto"/>
            <w:vAlign w:val="bottom"/>
            <w:hideMark/>
          </w:tcPr>
          <w:p w14:paraId="524AC1FA" w14:textId="77777777" w:rsidR="00EF6397" w:rsidRPr="00EF6397" w:rsidRDefault="00EF6397" w:rsidP="00EF6397">
            <w:pPr>
              <w:spacing w:after="0" w:line="240" w:lineRule="auto"/>
              <w:rPr>
                <w:rFonts w:eastAsia="Times New Roman" w:cs="Calibri"/>
                <w:b/>
                <w:bCs/>
                <w:lang w:eastAsia="sk-SK"/>
              </w:rPr>
            </w:pPr>
            <w:r w:rsidRPr="00EF6397">
              <w:rPr>
                <w:rFonts w:eastAsia="Times New Roman" w:cs="Calibri"/>
                <w:b/>
                <w:bCs/>
                <w:lang w:eastAsia="sk-SK"/>
              </w:rPr>
              <w:t>UA</w:t>
            </w:r>
          </w:p>
        </w:tc>
        <w:tc>
          <w:tcPr>
            <w:tcW w:w="960" w:type="dxa"/>
            <w:shd w:val="clear" w:color="auto" w:fill="auto"/>
            <w:noWrap/>
            <w:vAlign w:val="bottom"/>
            <w:hideMark/>
          </w:tcPr>
          <w:p w14:paraId="19007322"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0,54</w:t>
            </w:r>
          </w:p>
        </w:tc>
        <w:tc>
          <w:tcPr>
            <w:tcW w:w="960" w:type="dxa"/>
            <w:shd w:val="clear" w:color="auto" w:fill="auto"/>
            <w:noWrap/>
            <w:vAlign w:val="bottom"/>
            <w:hideMark/>
          </w:tcPr>
          <w:p w14:paraId="414D94A0"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0,46</w:t>
            </w:r>
          </w:p>
        </w:tc>
        <w:tc>
          <w:tcPr>
            <w:tcW w:w="960" w:type="dxa"/>
            <w:shd w:val="clear" w:color="auto" w:fill="auto"/>
            <w:noWrap/>
            <w:vAlign w:val="bottom"/>
            <w:hideMark/>
          </w:tcPr>
          <w:p w14:paraId="584B9D95"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0,74</w:t>
            </w:r>
          </w:p>
        </w:tc>
        <w:tc>
          <w:tcPr>
            <w:tcW w:w="960" w:type="dxa"/>
            <w:shd w:val="clear" w:color="auto" w:fill="auto"/>
            <w:noWrap/>
            <w:vAlign w:val="bottom"/>
            <w:hideMark/>
          </w:tcPr>
          <w:p w14:paraId="67E946B3"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0,46</w:t>
            </w:r>
          </w:p>
        </w:tc>
        <w:tc>
          <w:tcPr>
            <w:tcW w:w="960" w:type="dxa"/>
            <w:shd w:val="clear" w:color="auto" w:fill="auto"/>
            <w:noWrap/>
            <w:vAlign w:val="bottom"/>
            <w:hideMark/>
          </w:tcPr>
          <w:p w14:paraId="7B4A3E9B"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0,59</w:t>
            </w:r>
          </w:p>
        </w:tc>
        <w:tc>
          <w:tcPr>
            <w:tcW w:w="960" w:type="dxa"/>
            <w:shd w:val="clear" w:color="auto" w:fill="auto"/>
            <w:noWrap/>
            <w:vAlign w:val="bottom"/>
            <w:hideMark/>
          </w:tcPr>
          <w:p w14:paraId="6A50AAA1" w14:textId="77777777" w:rsidR="00EF6397" w:rsidRPr="00EF6397" w:rsidRDefault="00EF6397" w:rsidP="00EF6397">
            <w:pPr>
              <w:spacing w:after="0" w:line="240" w:lineRule="auto"/>
              <w:jc w:val="right"/>
              <w:rPr>
                <w:rFonts w:eastAsia="Times New Roman" w:cs="Times New Roman"/>
                <w:color w:val="000000"/>
                <w:lang w:eastAsia="sk-SK"/>
              </w:rPr>
            </w:pPr>
            <w:r w:rsidRPr="00EF6397">
              <w:rPr>
                <w:rFonts w:eastAsia="Times New Roman" w:cs="Times New Roman"/>
                <w:color w:val="000000"/>
                <w:lang w:eastAsia="sk-SK"/>
              </w:rPr>
              <w:t>0,51</w:t>
            </w:r>
          </w:p>
        </w:tc>
      </w:tr>
    </w:tbl>
    <w:p w14:paraId="00583838" w14:textId="77777777" w:rsidR="00EF6397" w:rsidRPr="0056354F" w:rsidRDefault="00EF6397" w:rsidP="00583C16">
      <w:pPr>
        <w:ind w:left="4956" w:firstLine="708"/>
        <w:rPr>
          <w:i/>
          <w:iCs/>
          <w:sz w:val="20"/>
          <w:szCs w:val="20"/>
        </w:rPr>
      </w:pPr>
      <w:proofErr w:type="spellStart"/>
      <w:r w:rsidRPr="0056354F">
        <w:rPr>
          <w:i/>
          <w:iCs/>
          <w:sz w:val="20"/>
          <w:szCs w:val="20"/>
        </w:rPr>
        <w:t>Data</w:t>
      </w:r>
      <w:proofErr w:type="spellEnd"/>
      <w:r w:rsidRPr="0056354F">
        <w:rPr>
          <w:i/>
          <w:iCs/>
          <w:sz w:val="20"/>
          <w:szCs w:val="20"/>
        </w:rPr>
        <w:t>: EPO</w:t>
      </w:r>
    </w:p>
    <w:p w14:paraId="31B0A3D5" w14:textId="084F7D29" w:rsidR="00B41812" w:rsidRPr="00E40E93" w:rsidRDefault="00E40E93" w:rsidP="007B4A8F">
      <w:pPr>
        <w:jc w:val="both"/>
        <w:rPr>
          <w:lang w:val="en-GB"/>
        </w:rPr>
      </w:pPr>
      <w:r w:rsidRPr="00E40E93">
        <w:rPr>
          <w:lang w:val="en-GB"/>
        </w:rPr>
        <w:t xml:space="preserve">Patent applications primarily represent efforts to protect intellectual property, while granted patents signify actual protection. </w:t>
      </w:r>
      <w:proofErr w:type="gramStart"/>
      <w:r w:rsidRPr="00E40E93">
        <w:rPr>
          <w:lang w:val="en-GB"/>
        </w:rPr>
        <w:t>Similar to</w:t>
      </w:r>
      <w:proofErr w:type="gramEnd"/>
      <w:r w:rsidRPr="00E40E93">
        <w:rPr>
          <w:lang w:val="en-GB"/>
        </w:rPr>
        <w:t xml:space="preserve"> applications, we can observe Germany's dominance in granted patents, with 15,541 patents in 2024. Austria had over ten times fewer patents granted (1,508), and the Czech Republic had over ten times fewer again (144). In Bosnia and Herzegovina and Montenegro, no patents were granted in 2024, and only one was granted in Moldova.</w:t>
      </w:r>
    </w:p>
    <w:p w14:paraId="51642319" w14:textId="36773269" w:rsidR="00891ADA" w:rsidRPr="00891ADA" w:rsidRDefault="00891ADA" w:rsidP="00891ADA">
      <w:pPr>
        <w:pStyle w:val="Popis"/>
        <w:keepNext/>
        <w:spacing w:after="0"/>
        <w:rPr>
          <w:b/>
          <w:bCs/>
          <w:i w:val="0"/>
          <w:iCs w:val="0"/>
          <w:color w:val="auto"/>
          <w:sz w:val="20"/>
          <w:szCs w:val="20"/>
        </w:rPr>
      </w:pPr>
      <w:bookmarkStart w:id="48" w:name="_Toc202166663"/>
      <w:r w:rsidRPr="00891ADA">
        <w:rPr>
          <w:b/>
          <w:bCs/>
          <w:i w:val="0"/>
          <w:iCs w:val="0"/>
          <w:color w:val="auto"/>
          <w:sz w:val="20"/>
          <w:szCs w:val="20"/>
        </w:rPr>
        <w:t xml:space="preserve">Table </w:t>
      </w:r>
      <w:r w:rsidRPr="00891ADA">
        <w:rPr>
          <w:b/>
          <w:bCs/>
          <w:i w:val="0"/>
          <w:iCs w:val="0"/>
          <w:color w:val="auto"/>
          <w:sz w:val="20"/>
          <w:szCs w:val="20"/>
        </w:rPr>
        <w:fldChar w:fldCharType="begin"/>
      </w:r>
      <w:r w:rsidRPr="00891ADA">
        <w:rPr>
          <w:b/>
          <w:bCs/>
          <w:i w:val="0"/>
          <w:iCs w:val="0"/>
          <w:color w:val="auto"/>
          <w:sz w:val="20"/>
          <w:szCs w:val="20"/>
        </w:rPr>
        <w:instrText xml:space="preserve"> SEQ Table \* ARABIC </w:instrText>
      </w:r>
      <w:r w:rsidRPr="00891ADA">
        <w:rPr>
          <w:b/>
          <w:bCs/>
          <w:i w:val="0"/>
          <w:iCs w:val="0"/>
          <w:color w:val="auto"/>
          <w:sz w:val="20"/>
          <w:szCs w:val="20"/>
        </w:rPr>
        <w:fldChar w:fldCharType="separate"/>
      </w:r>
      <w:r w:rsidR="00FA21C8">
        <w:rPr>
          <w:b/>
          <w:bCs/>
          <w:i w:val="0"/>
          <w:iCs w:val="0"/>
          <w:noProof/>
          <w:color w:val="auto"/>
          <w:sz w:val="20"/>
          <w:szCs w:val="20"/>
        </w:rPr>
        <w:t>7</w:t>
      </w:r>
      <w:r w:rsidRPr="00891ADA">
        <w:rPr>
          <w:b/>
          <w:bCs/>
          <w:i w:val="0"/>
          <w:iCs w:val="0"/>
          <w:color w:val="auto"/>
          <w:sz w:val="20"/>
          <w:szCs w:val="20"/>
        </w:rPr>
        <w:fldChar w:fldCharType="end"/>
      </w:r>
      <w:r w:rsidRPr="00891ADA">
        <w:rPr>
          <w:b/>
          <w:bCs/>
          <w:i w:val="0"/>
          <w:iCs w:val="0"/>
          <w:color w:val="auto"/>
          <w:sz w:val="20"/>
          <w:szCs w:val="20"/>
        </w:rPr>
        <w:t xml:space="preserve"> </w:t>
      </w:r>
      <w:proofErr w:type="spellStart"/>
      <w:r w:rsidRPr="00891ADA">
        <w:rPr>
          <w:b/>
          <w:bCs/>
          <w:i w:val="0"/>
          <w:iCs w:val="0"/>
          <w:color w:val="auto"/>
          <w:sz w:val="20"/>
          <w:szCs w:val="20"/>
        </w:rPr>
        <w:t>Number</w:t>
      </w:r>
      <w:proofErr w:type="spellEnd"/>
      <w:r w:rsidRPr="00891ADA">
        <w:rPr>
          <w:b/>
          <w:bCs/>
          <w:i w:val="0"/>
          <w:iCs w:val="0"/>
          <w:color w:val="auto"/>
          <w:sz w:val="20"/>
          <w:szCs w:val="20"/>
        </w:rPr>
        <w:t xml:space="preserve"> of EPO </w:t>
      </w:r>
      <w:proofErr w:type="spellStart"/>
      <w:r w:rsidRPr="00891ADA">
        <w:rPr>
          <w:b/>
          <w:bCs/>
          <w:i w:val="0"/>
          <w:iCs w:val="0"/>
          <w:color w:val="auto"/>
          <w:sz w:val="20"/>
          <w:szCs w:val="20"/>
        </w:rPr>
        <w:t>patents</w:t>
      </w:r>
      <w:bookmarkEnd w:id="48"/>
      <w:proofErr w:type="spellEnd"/>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B41812" w:rsidRPr="00B41812" w14:paraId="53B5EF87" w14:textId="77777777" w:rsidTr="00845FFB">
        <w:trPr>
          <w:trHeight w:val="290"/>
        </w:trPr>
        <w:tc>
          <w:tcPr>
            <w:tcW w:w="960" w:type="dxa"/>
            <w:shd w:val="clear" w:color="auto" w:fill="auto"/>
            <w:vAlign w:val="bottom"/>
            <w:hideMark/>
          </w:tcPr>
          <w:p w14:paraId="3360DF64" w14:textId="5B202E31" w:rsidR="00B41812" w:rsidRPr="00B41812" w:rsidRDefault="00B41812" w:rsidP="00B41812">
            <w:pPr>
              <w:spacing w:after="0" w:line="240" w:lineRule="auto"/>
              <w:rPr>
                <w:rFonts w:eastAsia="Times New Roman" w:cs="Calibri"/>
                <w:b/>
                <w:bCs/>
                <w:lang w:eastAsia="sk-SK"/>
              </w:rPr>
            </w:pPr>
          </w:p>
        </w:tc>
        <w:tc>
          <w:tcPr>
            <w:tcW w:w="960" w:type="dxa"/>
            <w:shd w:val="clear" w:color="26466D" w:fill="26466D"/>
            <w:vAlign w:val="bottom"/>
            <w:hideMark/>
          </w:tcPr>
          <w:p w14:paraId="2666DA25"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2019</w:t>
            </w:r>
          </w:p>
        </w:tc>
        <w:tc>
          <w:tcPr>
            <w:tcW w:w="960" w:type="dxa"/>
            <w:shd w:val="clear" w:color="26466D" w:fill="26466D"/>
            <w:vAlign w:val="bottom"/>
            <w:hideMark/>
          </w:tcPr>
          <w:p w14:paraId="52CB769C"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2020</w:t>
            </w:r>
          </w:p>
        </w:tc>
        <w:tc>
          <w:tcPr>
            <w:tcW w:w="960" w:type="dxa"/>
            <w:shd w:val="clear" w:color="26466D" w:fill="26466D"/>
            <w:vAlign w:val="bottom"/>
            <w:hideMark/>
          </w:tcPr>
          <w:p w14:paraId="62922F36"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2021</w:t>
            </w:r>
          </w:p>
        </w:tc>
        <w:tc>
          <w:tcPr>
            <w:tcW w:w="960" w:type="dxa"/>
            <w:shd w:val="clear" w:color="26466D" w:fill="26466D"/>
            <w:vAlign w:val="bottom"/>
            <w:hideMark/>
          </w:tcPr>
          <w:p w14:paraId="1D2A2414"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2022</w:t>
            </w:r>
          </w:p>
        </w:tc>
        <w:tc>
          <w:tcPr>
            <w:tcW w:w="960" w:type="dxa"/>
            <w:shd w:val="clear" w:color="26466D" w:fill="26466D"/>
            <w:vAlign w:val="bottom"/>
            <w:hideMark/>
          </w:tcPr>
          <w:p w14:paraId="74B6D799"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2023</w:t>
            </w:r>
          </w:p>
        </w:tc>
        <w:tc>
          <w:tcPr>
            <w:tcW w:w="960" w:type="dxa"/>
            <w:shd w:val="clear" w:color="26466D" w:fill="26466D"/>
            <w:vAlign w:val="bottom"/>
            <w:hideMark/>
          </w:tcPr>
          <w:p w14:paraId="2579FB99" w14:textId="77777777" w:rsidR="00B41812" w:rsidRPr="00B41812" w:rsidRDefault="00B41812" w:rsidP="00B41812">
            <w:pPr>
              <w:spacing w:after="0" w:line="240" w:lineRule="auto"/>
              <w:jc w:val="right"/>
              <w:rPr>
                <w:rFonts w:eastAsia="Times New Roman" w:cs="Calibri"/>
                <w:b/>
                <w:bCs/>
                <w:color w:val="FFFFFF"/>
                <w:lang w:eastAsia="sk-SK"/>
              </w:rPr>
            </w:pPr>
            <w:r w:rsidRPr="00B41812">
              <w:rPr>
                <w:rFonts w:eastAsia="Times New Roman" w:cs="Calibri"/>
                <w:b/>
                <w:bCs/>
                <w:color w:val="FFFFFF"/>
                <w:lang w:eastAsia="sk-SK"/>
              </w:rPr>
              <w:t>2024</w:t>
            </w:r>
          </w:p>
        </w:tc>
      </w:tr>
      <w:tr w:rsidR="00B41812" w:rsidRPr="00B41812" w14:paraId="761C1CB9" w14:textId="77777777" w:rsidTr="00845FFB">
        <w:trPr>
          <w:trHeight w:val="290"/>
        </w:trPr>
        <w:tc>
          <w:tcPr>
            <w:tcW w:w="960" w:type="dxa"/>
            <w:shd w:val="clear" w:color="auto" w:fill="auto"/>
            <w:vAlign w:val="bottom"/>
            <w:hideMark/>
          </w:tcPr>
          <w:p w14:paraId="05B2EACF"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AT</w:t>
            </w:r>
          </w:p>
        </w:tc>
        <w:tc>
          <w:tcPr>
            <w:tcW w:w="960" w:type="dxa"/>
            <w:shd w:val="clear" w:color="auto" w:fill="auto"/>
            <w:noWrap/>
            <w:vAlign w:val="bottom"/>
            <w:hideMark/>
          </w:tcPr>
          <w:p w14:paraId="3BE6B5B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1 663</w:t>
            </w:r>
          </w:p>
        </w:tc>
        <w:tc>
          <w:tcPr>
            <w:tcW w:w="960" w:type="dxa"/>
            <w:shd w:val="clear" w:color="auto" w:fill="auto"/>
            <w:noWrap/>
            <w:vAlign w:val="bottom"/>
            <w:hideMark/>
          </w:tcPr>
          <w:p w14:paraId="1CD6990F"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1 756</w:t>
            </w:r>
          </w:p>
        </w:tc>
        <w:tc>
          <w:tcPr>
            <w:tcW w:w="960" w:type="dxa"/>
            <w:shd w:val="clear" w:color="auto" w:fill="auto"/>
            <w:noWrap/>
            <w:vAlign w:val="bottom"/>
            <w:hideMark/>
          </w:tcPr>
          <w:p w14:paraId="6FBA8AE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1 327</w:t>
            </w:r>
          </w:p>
        </w:tc>
        <w:tc>
          <w:tcPr>
            <w:tcW w:w="960" w:type="dxa"/>
            <w:shd w:val="clear" w:color="auto" w:fill="auto"/>
            <w:noWrap/>
            <w:vAlign w:val="bottom"/>
            <w:hideMark/>
          </w:tcPr>
          <w:p w14:paraId="62705B98"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1 151</w:t>
            </w:r>
          </w:p>
        </w:tc>
        <w:tc>
          <w:tcPr>
            <w:tcW w:w="960" w:type="dxa"/>
            <w:shd w:val="clear" w:color="auto" w:fill="auto"/>
            <w:noWrap/>
            <w:vAlign w:val="bottom"/>
            <w:hideMark/>
          </w:tcPr>
          <w:p w14:paraId="0B76CAB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1 504</w:t>
            </w:r>
          </w:p>
        </w:tc>
        <w:tc>
          <w:tcPr>
            <w:tcW w:w="960" w:type="dxa"/>
            <w:shd w:val="clear" w:color="auto" w:fill="auto"/>
            <w:noWrap/>
            <w:vAlign w:val="bottom"/>
            <w:hideMark/>
          </w:tcPr>
          <w:p w14:paraId="674C5314"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1 508</w:t>
            </w:r>
          </w:p>
        </w:tc>
      </w:tr>
      <w:tr w:rsidR="00B41812" w:rsidRPr="00B41812" w14:paraId="7EBF842C" w14:textId="77777777" w:rsidTr="00845FFB">
        <w:trPr>
          <w:trHeight w:val="290"/>
        </w:trPr>
        <w:tc>
          <w:tcPr>
            <w:tcW w:w="960" w:type="dxa"/>
            <w:shd w:val="clear" w:color="auto" w:fill="auto"/>
            <w:vAlign w:val="bottom"/>
            <w:hideMark/>
          </w:tcPr>
          <w:p w14:paraId="2F86EC14"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BA</w:t>
            </w:r>
          </w:p>
        </w:tc>
        <w:tc>
          <w:tcPr>
            <w:tcW w:w="960" w:type="dxa"/>
            <w:shd w:val="clear" w:color="auto" w:fill="auto"/>
            <w:noWrap/>
            <w:vAlign w:val="bottom"/>
            <w:hideMark/>
          </w:tcPr>
          <w:p w14:paraId="661B934E"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4AEF019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4E1CA0B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w:t>
            </w:r>
          </w:p>
        </w:tc>
        <w:tc>
          <w:tcPr>
            <w:tcW w:w="960" w:type="dxa"/>
            <w:shd w:val="clear" w:color="auto" w:fill="auto"/>
            <w:noWrap/>
            <w:vAlign w:val="bottom"/>
            <w:hideMark/>
          </w:tcPr>
          <w:p w14:paraId="3B4DB84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2FA2B5E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10288D40"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r>
      <w:tr w:rsidR="00B41812" w:rsidRPr="00B41812" w14:paraId="1F78EF31" w14:textId="77777777" w:rsidTr="00845FFB">
        <w:trPr>
          <w:trHeight w:val="290"/>
        </w:trPr>
        <w:tc>
          <w:tcPr>
            <w:tcW w:w="960" w:type="dxa"/>
            <w:shd w:val="clear" w:color="auto" w:fill="auto"/>
            <w:vAlign w:val="bottom"/>
            <w:hideMark/>
          </w:tcPr>
          <w:p w14:paraId="143E8778"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BG</w:t>
            </w:r>
          </w:p>
        </w:tc>
        <w:tc>
          <w:tcPr>
            <w:tcW w:w="960" w:type="dxa"/>
            <w:shd w:val="clear" w:color="auto" w:fill="auto"/>
            <w:noWrap/>
            <w:vAlign w:val="bottom"/>
            <w:hideMark/>
          </w:tcPr>
          <w:p w14:paraId="3DDFC74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16</w:t>
            </w:r>
          </w:p>
        </w:tc>
        <w:tc>
          <w:tcPr>
            <w:tcW w:w="960" w:type="dxa"/>
            <w:shd w:val="clear" w:color="auto" w:fill="auto"/>
            <w:noWrap/>
            <w:vAlign w:val="bottom"/>
            <w:hideMark/>
          </w:tcPr>
          <w:p w14:paraId="4CEBFF7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18</w:t>
            </w:r>
          </w:p>
        </w:tc>
        <w:tc>
          <w:tcPr>
            <w:tcW w:w="960" w:type="dxa"/>
            <w:shd w:val="clear" w:color="auto" w:fill="auto"/>
            <w:noWrap/>
            <w:vAlign w:val="bottom"/>
            <w:hideMark/>
          </w:tcPr>
          <w:p w14:paraId="14B3BBC4"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23</w:t>
            </w:r>
          </w:p>
        </w:tc>
        <w:tc>
          <w:tcPr>
            <w:tcW w:w="960" w:type="dxa"/>
            <w:shd w:val="clear" w:color="auto" w:fill="auto"/>
            <w:noWrap/>
            <w:vAlign w:val="bottom"/>
            <w:hideMark/>
          </w:tcPr>
          <w:p w14:paraId="4E3711A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22</w:t>
            </w:r>
          </w:p>
        </w:tc>
        <w:tc>
          <w:tcPr>
            <w:tcW w:w="960" w:type="dxa"/>
            <w:shd w:val="clear" w:color="auto" w:fill="auto"/>
            <w:noWrap/>
            <w:vAlign w:val="bottom"/>
            <w:hideMark/>
          </w:tcPr>
          <w:p w14:paraId="31AC865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23</w:t>
            </w:r>
          </w:p>
        </w:tc>
        <w:tc>
          <w:tcPr>
            <w:tcW w:w="960" w:type="dxa"/>
            <w:shd w:val="clear" w:color="auto" w:fill="auto"/>
            <w:noWrap/>
            <w:vAlign w:val="bottom"/>
            <w:hideMark/>
          </w:tcPr>
          <w:p w14:paraId="42AA6F34"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22</w:t>
            </w:r>
          </w:p>
        </w:tc>
      </w:tr>
      <w:tr w:rsidR="00B41812" w:rsidRPr="00B41812" w14:paraId="04C7E778" w14:textId="77777777" w:rsidTr="00845FFB">
        <w:trPr>
          <w:trHeight w:val="290"/>
        </w:trPr>
        <w:tc>
          <w:tcPr>
            <w:tcW w:w="960" w:type="dxa"/>
            <w:shd w:val="clear" w:color="auto" w:fill="auto"/>
            <w:vAlign w:val="bottom"/>
            <w:hideMark/>
          </w:tcPr>
          <w:p w14:paraId="7D7CE158"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CZ</w:t>
            </w:r>
          </w:p>
        </w:tc>
        <w:tc>
          <w:tcPr>
            <w:tcW w:w="960" w:type="dxa"/>
            <w:shd w:val="clear" w:color="auto" w:fill="auto"/>
            <w:noWrap/>
            <w:vAlign w:val="bottom"/>
            <w:hideMark/>
          </w:tcPr>
          <w:p w14:paraId="3ADDF62A"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172</w:t>
            </w:r>
          </w:p>
        </w:tc>
        <w:tc>
          <w:tcPr>
            <w:tcW w:w="960" w:type="dxa"/>
            <w:shd w:val="clear" w:color="auto" w:fill="auto"/>
            <w:noWrap/>
            <w:vAlign w:val="bottom"/>
            <w:hideMark/>
          </w:tcPr>
          <w:p w14:paraId="7039733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154</w:t>
            </w:r>
          </w:p>
        </w:tc>
        <w:tc>
          <w:tcPr>
            <w:tcW w:w="960" w:type="dxa"/>
            <w:shd w:val="clear" w:color="auto" w:fill="auto"/>
            <w:noWrap/>
            <w:vAlign w:val="bottom"/>
            <w:hideMark/>
          </w:tcPr>
          <w:p w14:paraId="6705C32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133</w:t>
            </w:r>
          </w:p>
        </w:tc>
        <w:tc>
          <w:tcPr>
            <w:tcW w:w="960" w:type="dxa"/>
            <w:shd w:val="clear" w:color="auto" w:fill="auto"/>
            <w:noWrap/>
            <w:vAlign w:val="bottom"/>
            <w:hideMark/>
          </w:tcPr>
          <w:p w14:paraId="631D3FD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85</w:t>
            </w:r>
          </w:p>
        </w:tc>
        <w:tc>
          <w:tcPr>
            <w:tcW w:w="960" w:type="dxa"/>
            <w:shd w:val="clear" w:color="auto" w:fill="auto"/>
            <w:noWrap/>
            <w:vAlign w:val="bottom"/>
            <w:hideMark/>
          </w:tcPr>
          <w:p w14:paraId="7426A7D7"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134</w:t>
            </w:r>
          </w:p>
        </w:tc>
        <w:tc>
          <w:tcPr>
            <w:tcW w:w="960" w:type="dxa"/>
            <w:shd w:val="clear" w:color="auto" w:fill="auto"/>
            <w:noWrap/>
            <w:vAlign w:val="bottom"/>
            <w:hideMark/>
          </w:tcPr>
          <w:p w14:paraId="0A01DEAA"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144</w:t>
            </w:r>
          </w:p>
        </w:tc>
      </w:tr>
      <w:tr w:rsidR="00B41812" w:rsidRPr="00B41812" w14:paraId="7313EAC6" w14:textId="77777777" w:rsidTr="00845FFB">
        <w:trPr>
          <w:trHeight w:val="290"/>
        </w:trPr>
        <w:tc>
          <w:tcPr>
            <w:tcW w:w="960" w:type="dxa"/>
            <w:shd w:val="clear" w:color="auto" w:fill="auto"/>
            <w:vAlign w:val="bottom"/>
            <w:hideMark/>
          </w:tcPr>
          <w:p w14:paraId="0407938E"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DE</w:t>
            </w:r>
          </w:p>
        </w:tc>
        <w:tc>
          <w:tcPr>
            <w:tcW w:w="960" w:type="dxa"/>
            <w:shd w:val="clear" w:color="auto" w:fill="auto"/>
            <w:noWrap/>
            <w:vAlign w:val="bottom"/>
            <w:hideMark/>
          </w:tcPr>
          <w:p w14:paraId="31B46177"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21 198</w:t>
            </w:r>
          </w:p>
        </w:tc>
        <w:tc>
          <w:tcPr>
            <w:tcW w:w="960" w:type="dxa"/>
            <w:shd w:val="clear" w:color="auto" w:fill="auto"/>
            <w:noWrap/>
            <w:vAlign w:val="bottom"/>
            <w:hideMark/>
          </w:tcPr>
          <w:p w14:paraId="700BD284"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20 056</w:t>
            </w:r>
          </w:p>
        </w:tc>
        <w:tc>
          <w:tcPr>
            <w:tcW w:w="960" w:type="dxa"/>
            <w:shd w:val="clear" w:color="auto" w:fill="auto"/>
            <w:noWrap/>
            <w:vAlign w:val="bottom"/>
            <w:hideMark/>
          </w:tcPr>
          <w:p w14:paraId="10980C50"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16 507</w:t>
            </w:r>
          </w:p>
        </w:tc>
        <w:tc>
          <w:tcPr>
            <w:tcW w:w="960" w:type="dxa"/>
            <w:shd w:val="clear" w:color="auto" w:fill="auto"/>
            <w:noWrap/>
            <w:vAlign w:val="bottom"/>
            <w:hideMark/>
          </w:tcPr>
          <w:p w14:paraId="341D245E"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12 563</w:t>
            </w:r>
          </w:p>
        </w:tc>
        <w:tc>
          <w:tcPr>
            <w:tcW w:w="960" w:type="dxa"/>
            <w:shd w:val="clear" w:color="auto" w:fill="auto"/>
            <w:noWrap/>
            <w:vAlign w:val="bottom"/>
            <w:hideMark/>
          </w:tcPr>
          <w:p w14:paraId="5D08F2AD"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15 012</w:t>
            </w:r>
          </w:p>
        </w:tc>
        <w:tc>
          <w:tcPr>
            <w:tcW w:w="960" w:type="dxa"/>
            <w:shd w:val="clear" w:color="auto" w:fill="auto"/>
            <w:noWrap/>
            <w:vAlign w:val="bottom"/>
            <w:hideMark/>
          </w:tcPr>
          <w:p w14:paraId="3B52D07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15 541</w:t>
            </w:r>
          </w:p>
        </w:tc>
      </w:tr>
      <w:tr w:rsidR="00B41812" w:rsidRPr="00B41812" w14:paraId="69168457" w14:textId="77777777" w:rsidTr="00845FFB">
        <w:trPr>
          <w:trHeight w:val="290"/>
        </w:trPr>
        <w:tc>
          <w:tcPr>
            <w:tcW w:w="960" w:type="dxa"/>
            <w:shd w:val="clear" w:color="auto" w:fill="auto"/>
            <w:vAlign w:val="bottom"/>
            <w:hideMark/>
          </w:tcPr>
          <w:p w14:paraId="5E2298B3"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HR</w:t>
            </w:r>
          </w:p>
        </w:tc>
        <w:tc>
          <w:tcPr>
            <w:tcW w:w="960" w:type="dxa"/>
            <w:shd w:val="clear" w:color="auto" w:fill="auto"/>
            <w:noWrap/>
            <w:vAlign w:val="bottom"/>
            <w:hideMark/>
          </w:tcPr>
          <w:p w14:paraId="7049051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13</w:t>
            </w:r>
          </w:p>
        </w:tc>
        <w:tc>
          <w:tcPr>
            <w:tcW w:w="960" w:type="dxa"/>
            <w:shd w:val="clear" w:color="auto" w:fill="auto"/>
            <w:noWrap/>
            <w:vAlign w:val="bottom"/>
            <w:hideMark/>
          </w:tcPr>
          <w:p w14:paraId="3C54F2B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10</w:t>
            </w:r>
          </w:p>
        </w:tc>
        <w:tc>
          <w:tcPr>
            <w:tcW w:w="960" w:type="dxa"/>
            <w:shd w:val="clear" w:color="auto" w:fill="auto"/>
            <w:noWrap/>
            <w:vAlign w:val="bottom"/>
            <w:hideMark/>
          </w:tcPr>
          <w:p w14:paraId="21F0022A"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w:t>
            </w:r>
          </w:p>
        </w:tc>
        <w:tc>
          <w:tcPr>
            <w:tcW w:w="960" w:type="dxa"/>
            <w:shd w:val="clear" w:color="auto" w:fill="auto"/>
            <w:noWrap/>
            <w:vAlign w:val="bottom"/>
            <w:hideMark/>
          </w:tcPr>
          <w:p w14:paraId="0F8FDB21"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13</w:t>
            </w:r>
          </w:p>
        </w:tc>
        <w:tc>
          <w:tcPr>
            <w:tcW w:w="960" w:type="dxa"/>
            <w:shd w:val="clear" w:color="auto" w:fill="auto"/>
            <w:noWrap/>
            <w:vAlign w:val="bottom"/>
            <w:hideMark/>
          </w:tcPr>
          <w:p w14:paraId="1CD63A9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8</w:t>
            </w:r>
          </w:p>
        </w:tc>
        <w:tc>
          <w:tcPr>
            <w:tcW w:w="960" w:type="dxa"/>
            <w:shd w:val="clear" w:color="auto" w:fill="auto"/>
            <w:noWrap/>
            <w:vAlign w:val="bottom"/>
            <w:hideMark/>
          </w:tcPr>
          <w:p w14:paraId="6193404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w:t>
            </w:r>
          </w:p>
        </w:tc>
      </w:tr>
      <w:tr w:rsidR="00B41812" w:rsidRPr="00B41812" w14:paraId="4DB2975A" w14:textId="77777777" w:rsidTr="00845FFB">
        <w:trPr>
          <w:trHeight w:val="290"/>
        </w:trPr>
        <w:tc>
          <w:tcPr>
            <w:tcW w:w="960" w:type="dxa"/>
            <w:shd w:val="clear" w:color="auto" w:fill="auto"/>
            <w:vAlign w:val="bottom"/>
            <w:hideMark/>
          </w:tcPr>
          <w:p w14:paraId="1FDFEA8E"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HU</w:t>
            </w:r>
          </w:p>
        </w:tc>
        <w:tc>
          <w:tcPr>
            <w:tcW w:w="960" w:type="dxa"/>
            <w:shd w:val="clear" w:color="auto" w:fill="auto"/>
            <w:noWrap/>
            <w:vAlign w:val="bottom"/>
            <w:hideMark/>
          </w:tcPr>
          <w:p w14:paraId="6C36011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74</w:t>
            </w:r>
          </w:p>
        </w:tc>
        <w:tc>
          <w:tcPr>
            <w:tcW w:w="960" w:type="dxa"/>
            <w:shd w:val="clear" w:color="auto" w:fill="auto"/>
            <w:noWrap/>
            <w:vAlign w:val="bottom"/>
            <w:hideMark/>
          </w:tcPr>
          <w:p w14:paraId="6ED55980"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79</w:t>
            </w:r>
          </w:p>
        </w:tc>
        <w:tc>
          <w:tcPr>
            <w:tcW w:w="960" w:type="dxa"/>
            <w:shd w:val="clear" w:color="auto" w:fill="auto"/>
            <w:noWrap/>
            <w:vAlign w:val="bottom"/>
            <w:hideMark/>
          </w:tcPr>
          <w:p w14:paraId="09D76489"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53</w:t>
            </w:r>
          </w:p>
        </w:tc>
        <w:tc>
          <w:tcPr>
            <w:tcW w:w="960" w:type="dxa"/>
            <w:shd w:val="clear" w:color="auto" w:fill="auto"/>
            <w:noWrap/>
            <w:vAlign w:val="bottom"/>
            <w:hideMark/>
          </w:tcPr>
          <w:p w14:paraId="273897F0"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54</w:t>
            </w:r>
          </w:p>
        </w:tc>
        <w:tc>
          <w:tcPr>
            <w:tcW w:w="960" w:type="dxa"/>
            <w:shd w:val="clear" w:color="auto" w:fill="auto"/>
            <w:noWrap/>
            <w:vAlign w:val="bottom"/>
            <w:hideMark/>
          </w:tcPr>
          <w:p w14:paraId="4129A68F"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63</w:t>
            </w:r>
          </w:p>
        </w:tc>
        <w:tc>
          <w:tcPr>
            <w:tcW w:w="960" w:type="dxa"/>
            <w:shd w:val="clear" w:color="auto" w:fill="auto"/>
            <w:noWrap/>
            <w:vAlign w:val="bottom"/>
            <w:hideMark/>
          </w:tcPr>
          <w:p w14:paraId="75E783A7"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56</w:t>
            </w:r>
          </w:p>
        </w:tc>
      </w:tr>
      <w:tr w:rsidR="00B41812" w:rsidRPr="00B41812" w14:paraId="1C891D43" w14:textId="77777777" w:rsidTr="00845FFB">
        <w:trPr>
          <w:trHeight w:val="290"/>
        </w:trPr>
        <w:tc>
          <w:tcPr>
            <w:tcW w:w="960" w:type="dxa"/>
            <w:shd w:val="clear" w:color="auto" w:fill="auto"/>
            <w:vAlign w:val="bottom"/>
            <w:hideMark/>
          </w:tcPr>
          <w:p w14:paraId="576530EF"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MD</w:t>
            </w:r>
          </w:p>
        </w:tc>
        <w:tc>
          <w:tcPr>
            <w:tcW w:w="960" w:type="dxa"/>
            <w:shd w:val="clear" w:color="auto" w:fill="auto"/>
            <w:noWrap/>
            <w:vAlign w:val="bottom"/>
            <w:hideMark/>
          </w:tcPr>
          <w:p w14:paraId="60132779"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59DE4750"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w:t>
            </w:r>
          </w:p>
        </w:tc>
        <w:tc>
          <w:tcPr>
            <w:tcW w:w="960" w:type="dxa"/>
            <w:shd w:val="clear" w:color="auto" w:fill="auto"/>
            <w:noWrap/>
            <w:vAlign w:val="bottom"/>
            <w:hideMark/>
          </w:tcPr>
          <w:p w14:paraId="3F62B9A7"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49792398"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4757559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7C7B2D6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w:t>
            </w:r>
          </w:p>
        </w:tc>
      </w:tr>
      <w:tr w:rsidR="00B41812" w:rsidRPr="00B41812" w14:paraId="6A9C96AD" w14:textId="77777777" w:rsidTr="00845FFB">
        <w:trPr>
          <w:trHeight w:val="290"/>
        </w:trPr>
        <w:tc>
          <w:tcPr>
            <w:tcW w:w="960" w:type="dxa"/>
            <w:shd w:val="clear" w:color="auto" w:fill="auto"/>
            <w:vAlign w:val="bottom"/>
            <w:hideMark/>
          </w:tcPr>
          <w:p w14:paraId="53345533"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ME</w:t>
            </w:r>
          </w:p>
        </w:tc>
        <w:tc>
          <w:tcPr>
            <w:tcW w:w="960" w:type="dxa"/>
            <w:shd w:val="clear" w:color="auto" w:fill="auto"/>
            <w:noWrap/>
            <w:vAlign w:val="bottom"/>
            <w:hideMark/>
          </w:tcPr>
          <w:p w14:paraId="19B578C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61E6DEFA"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71050C9C" w14:textId="77777777" w:rsidR="00B41812" w:rsidRPr="00B41812" w:rsidRDefault="00B41812" w:rsidP="007F39E5">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69C1BD2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48832E9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c>
          <w:tcPr>
            <w:tcW w:w="960" w:type="dxa"/>
            <w:shd w:val="clear" w:color="auto" w:fill="auto"/>
            <w:noWrap/>
            <w:vAlign w:val="bottom"/>
            <w:hideMark/>
          </w:tcPr>
          <w:p w14:paraId="6B9FC02E"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0</w:t>
            </w:r>
          </w:p>
        </w:tc>
      </w:tr>
      <w:tr w:rsidR="00B41812" w:rsidRPr="00B41812" w14:paraId="0DCBE24C" w14:textId="77777777" w:rsidTr="00845FFB">
        <w:trPr>
          <w:trHeight w:val="290"/>
        </w:trPr>
        <w:tc>
          <w:tcPr>
            <w:tcW w:w="960" w:type="dxa"/>
            <w:shd w:val="clear" w:color="auto" w:fill="auto"/>
            <w:vAlign w:val="bottom"/>
            <w:hideMark/>
          </w:tcPr>
          <w:p w14:paraId="144D4F54"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RO</w:t>
            </w:r>
          </w:p>
        </w:tc>
        <w:tc>
          <w:tcPr>
            <w:tcW w:w="960" w:type="dxa"/>
            <w:shd w:val="clear" w:color="auto" w:fill="auto"/>
            <w:noWrap/>
            <w:vAlign w:val="bottom"/>
            <w:hideMark/>
          </w:tcPr>
          <w:p w14:paraId="74E9133E"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14</w:t>
            </w:r>
          </w:p>
        </w:tc>
        <w:tc>
          <w:tcPr>
            <w:tcW w:w="960" w:type="dxa"/>
            <w:shd w:val="clear" w:color="auto" w:fill="auto"/>
            <w:noWrap/>
            <w:vAlign w:val="bottom"/>
            <w:hideMark/>
          </w:tcPr>
          <w:p w14:paraId="2C942789"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23</w:t>
            </w:r>
          </w:p>
        </w:tc>
        <w:tc>
          <w:tcPr>
            <w:tcW w:w="960" w:type="dxa"/>
            <w:shd w:val="clear" w:color="auto" w:fill="auto"/>
            <w:noWrap/>
            <w:vAlign w:val="bottom"/>
            <w:hideMark/>
          </w:tcPr>
          <w:p w14:paraId="4ABD8FE8"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12</w:t>
            </w:r>
          </w:p>
        </w:tc>
        <w:tc>
          <w:tcPr>
            <w:tcW w:w="960" w:type="dxa"/>
            <w:shd w:val="clear" w:color="auto" w:fill="auto"/>
            <w:noWrap/>
            <w:vAlign w:val="bottom"/>
            <w:hideMark/>
          </w:tcPr>
          <w:p w14:paraId="654688A7"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16</w:t>
            </w:r>
          </w:p>
        </w:tc>
        <w:tc>
          <w:tcPr>
            <w:tcW w:w="960" w:type="dxa"/>
            <w:shd w:val="clear" w:color="auto" w:fill="auto"/>
            <w:noWrap/>
            <w:vAlign w:val="bottom"/>
            <w:hideMark/>
          </w:tcPr>
          <w:p w14:paraId="5DF5528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23</w:t>
            </w:r>
          </w:p>
        </w:tc>
        <w:tc>
          <w:tcPr>
            <w:tcW w:w="960" w:type="dxa"/>
            <w:shd w:val="clear" w:color="auto" w:fill="auto"/>
            <w:noWrap/>
            <w:vAlign w:val="bottom"/>
            <w:hideMark/>
          </w:tcPr>
          <w:p w14:paraId="276CA39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19</w:t>
            </w:r>
          </w:p>
        </w:tc>
      </w:tr>
      <w:tr w:rsidR="00B41812" w:rsidRPr="00B41812" w14:paraId="3A2204FB" w14:textId="77777777" w:rsidTr="00845FFB">
        <w:trPr>
          <w:trHeight w:val="290"/>
        </w:trPr>
        <w:tc>
          <w:tcPr>
            <w:tcW w:w="960" w:type="dxa"/>
            <w:shd w:val="clear" w:color="auto" w:fill="auto"/>
            <w:vAlign w:val="bottom"/>
            <w:hideMark/>
          </w:tcPr>
          <w:p w14:paraId="61B5314F"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RS</w:t>
            </w:r>
          </w:p>
        </w:tc>
        <w:tc>
          <w:tcPr>
            <w:tcW w:w="960" w:type="dxa"/>
            <w:shd w:val="clear" w:color="auto" w:fill="auto"/>
            <w:noWrap/>
            <w:vAlign w:val="bottom"/>
            <w:hideMark/>
          </w:tcPr>
          <w:p w14:paraId="7F318A4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w:t>
            </w:r>
          </w:p>
        </w:tc>
        <w:tc>
          <w:tcPr>
            <w:tcW w:w="960" w:type="dxa"/>
            <w:shd w:val="clear" w:color="auto" w:fill="auto"/>
            <w:noWrap/>
            <w:vAlign w:val="bottom"/>
            <w:hideMark/>
          </w:tcPr>
          <w:p w14:paraId="2A9292D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w:t>
            </w:r>
          </w:p>
        </w:tc>
        <w:tc>
          <w:tcPr>
            <w:tcW w:w="960" w:type="dxa"/>
            <w:shd w:val="clear" w:color="auto" w:fill="auto"/>
            <w:noWrap/>
            <w:vAlign w:val="bottom"/>
            <w:hideMark/>
          </w:tcPr>
          <w:p w14:paraId="541751A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w:t>
            </w:r>
          </w:p>
        </w:tc>
        <w:tc>
          <w:tcPr>
            <w:tcW w:w="960" w:type="dxa"/>
            <w:shd w:val="clear" w:color="auto" w:fill="auto"/>
            <w:noWrap/>
            <w:vAlign w:val="bottom"/>
            <w:hideMark/>
          </w:tcPr>
          <w:p w14:paraId="1DA3C1C5"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3</w:t>
            </w:r>
          </w:p>
        </w:tc>
        <w:tc>
          <w:tcPr>
            <w:tcW w:w="960" w:type="dxa"/>
            <w:shd w:val="clear" w:color="auto" w:fill="auto"/>
            <w:noWrap/>
            <w:vAlign w:val="bottom"/>
            <w:hideMark/>
          </w:tcPr>
          <w:p w14:paraId="2E4D5718"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w:t>
            </w:r>
          </w:p>
        </w:tc>
        <w:tc>
          <w:tcPr>
            <w:tcW w:w="960" w:type="dxa"/>
            <w:shd w:val="clear" w:color="auto" w:fill="auto"/>
            <w:noWrap/>
            <w:vAlign w:val="bottom"/>
            <w:hideMark/>
          </w:tcPr>
          <w:p w14:paraId="6812F3D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w:t>
            </w:r>
          </w:p>
        </w:tc>
      </w:tr>
      <w:tr w:rsidR="00B41812" w:rsidRPr="00B41812" w14:paraId="5B5EE46F" w14:textId="77777777" w:rsidTr="00845FFB">
        <w:trPr>
          <w:trHeight w:val="290"/>
        </w:trPr>
        <w:tc>
          <w:tcPr>
            <w:tcW w:w="960" w:type="dxa"/>
            <w:shd w:val="clear" w:color="auto" w:fill="auto"/>
            <w:vAlign w:val="bottom"/>
            <w:hideMark/>
          </w:tcPr>
          <w:p w14:paraId="4625E4A7"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SI</w:t>
            </w:r>
          </w:p>
        </w:tc>
        <w:tc>
          <w:tcPr>
            <w:tcW w:w="960" w:type="dxa"/>
            <w:shd w:val="clear" w:color="auto" w:fill="auto"/>
            <w:noWrap/>
            <w:vAlign w:val="bottom"/>
            <w:hideMark/>
          </w:tcPr>
          <w:p w14:paraId="36C1C1D8"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72</w:t>
            </w:r>
          </w:p>
        </w:tc>
        <w:tc>
          <w:tcPr>
            <w:tcW w:w="960" w:type="dxa"/>
            <w:shd w:val="clear" w:color="auto" w:fill="auto"/>
            <w:noWrap/>
            <w:vAlign w:val="bottom"/>
            <w:hideMark/>
          </w:tcPr>
          <w:p w14:paraId="423659E1"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95</w:t>
            </w:r>
          </w:p>
        </w:tc>
        <w:tc>
          <w:tcPr>
            <w:tcW w:w="960" w:type="dxa"/>
            <w:shd w:val="clear" w:color="auto" w:fill="auto"/>
            <w:noWrap/>
            <w:vAlign w:val="bottom"/>
            <w:hideMark/>
          </w:tcPr>
          <w:p w14:paraId="3A22E17C"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79</w:t>
            </w:r>
          </w:p>
        </w:tc>
        <w:tc>
          <w:tcPr>
            <w:tcW w:w="960" w:type="dxa"/>
            <w:shd w:val="clear" w:color="auto" w:fill="auto"/>
            <w:noWrap/>
            <w:vAlign w:val="bottom"/>
            <w:hideMark/>
          </w:tcPr>
          <w:p w14:paraId="6731163B"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46</w:t>
            </w:r>
          </w:p>
        </w:tc>
        <w:tc>
          <w:tcPr>
            <w:tcW w:w="960" w:type="dxa"/>
            <w:shd w:val="clear" w:color="auto" w:fill="auto"/>
            <w:noWrap/>
            <w:vAlign w:val="bottom"/>
            <w:hideMark/>
          </w:tcPr>
          <w:p w14:paraId="612EBA83"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58</w:t>
            </w:r>
          </w:p>
        </w:tc>
        <w:tc>
          <w:tcPr>
            <w:tcW w:w="960" w:type="dxa"/>
            <w:shd w:val="clear" w:color="auto" w:fill="auto"/>
            <w:noWrap/>
            <w:vAlign w:val="bottom"/>
            <w:hideMark/>
          </w:tcPr>
          <w:p w14:paraId="58B60EB4"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97</w:t>
            </w:r>
          </w:p>
        </w:tc>
      </w:tr>
      <w:tr w:rsidR="00B41812" w:rsidRPr="00B41812" w14:paraId="201B17AC" w14:textId="77777777" w:rsidTr="00845FFB">
        <w:trPr>
          <w:trHeight w:val="290"/>
        </w:trPr>
        <w:tc>
          <w:tcPr>
            <w:tcW w:w="960" w:type="dxa"/>
            <w:shd w:val="clear" w:color="auto" w:fill="auto"/>
            <w:vAlign w:val="bottom"/>
            <w:hideMark/>
          </w:tcPr>
          <w:p w14:paraId="626E5661"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SK</w:t>
            </w:r>
          </w:p>
        </w:tc>
        <w:tc>
          <w:tcPr>
            <w:tcW w:w="960" w:type="dxa"/>
            <w:shd w:val="clear" w:color="auto" w:fill="auto"/>
            <w:noWrap/>
            <w:vAlign w:val="bottom"/>
            <w:hideMark/>
          </w:tcPr>
          <w:p w14:paraId="3DF4C23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34</w:t>
            </w:r>
          </w:p>
        </w:tc>
        <w:tc>
          <w:tcPr>
            <w:tcW w:w="960" w:type="dxa"/>
            <w:shd w:val="clear" w:color="auto" w:fill="auto"/>
            <w:noWrap/>
            <w:vAlign w:val="bottom"/>
            <w:hideMark/>
          </w:tcPr>
          <w:p w14:paraId="71CAD4C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15</w:t>
            </w:r>
          </w:p>
        </w:tc>
        <w:tc>
          <w:tcPr>
            <w:tcW w:w="960" w:type="dxa"/>
            <w:shd w:val="clear" w:color="auto" w:fill="auto"/>
            <w:noWrap/>
            <w:vAlign w:val="bottom"/>
            <w:hideMark/>
          </w:tcPr>
          <w:p w14:paraId="0D519D41"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33</w:t>
            </w:r>
          </w:p>
        </w:tc>
        <w:tc>
          <w:tcPr>
            <w:tcW w:w="960" w:type="dxa"/>
            <w:shd w:val="clear" w:color="auto" w:fill="auto"/>
            <w:noWrap/>
            <w:vAlign w:val="bottom"/>
            <w:hideMark/>
          </w:tcPr>
          <w:p w14:paraId="0F0A7AB1"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17</w:t>
            </w:r>
          </w:p>
        </w:tc>
        <w:tc>
          <w:tcPr>
            <w:tcW w:w="960" w:type="dxa"/>
            <w:shd w:val="clear" w:color="auto" w:fill="auto"/>
            <w:noWrap/>
            <w:vAlign w:val="bottom"/>
            <w:hideMark/>
          </w:tcPr>
          <w:p w14:paraId="201194FF"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23</w:t>
            </w:r>
          </w:p>
        </w:tc>
        <w:tc>
          <w:tcPr>
            <w:tcW w:w="960" w:type="dxa"/>
            <w:shd w:val="clear" w:color="auto" w:fill="auto"/>
            <w:noWrap/>
            <w:vAlign w:val="bottom"/>
            <w:hideMark/>
          </w:tcPr>
          <w:p w14:paraId="5D8DB30E"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30</w:t>
            </w:r>
          </w:p>
        </w:tc>
      </w:tr>
      <w:tr w:rsidR="00B41812" w:rsidRPr="00B41812" w14:paraId="40574837" w14:textId="77777777" w:rsidTr="00845FFB">
        <w:trPr>
          <w:trHeight w:val="290"/>
        </w:trPr>
        <w:tc>
          <w:tcPr>
            <w:tcW w:w="960" w:type="dxa"/>
            <w:shd w:val="clear" w:color="auto" w:fill="auto"/>
            <w:vAlign w:val="bottom"/>
            <w:hideMark/>
          </w:tcPr>
          <w:p w14:paraId="4A67F76D" w14:textId="77777777" w:rsidR="00B41812" w:rsidRPr="00B41812" w:rsidRDefault="00B41812" w:rsidP="00B41812">
            <w:pPr>
              <w:spacing w:after="0" w:line="240" w:lineRule="auto"/>
              <w:rPr>
                <w:rFonts w:eastAsia="Times New Roman" w:cs="Calibri"/>
                <w:b/>
                <w:bCs/>
                <w:lang w:eastAsia="sk-SK"/>
              </w:rPr>
            </w:pPr>
            <w:r w:rsidRPr="00B41812">
              <w:rPr>
                <w:rFonts w:eastAsia="Times New Roman" w:cs="Calibri"/>
                <w:b/>
                <w:bCs/>
                <w:lang w:eastAsia="sk-SK"/>
              </w:rPr>
              <w:t>UA</w:t>
            </w:r>
          </w:p>
        </w:tc>
        <w:tc>
          <w:tcPr>
            <w:tcW w:w="960" w:type="dxa"/>
            <w:shd w:val="clear" w:color="auto" w:fill="auto"/>
            <w:noWrap/>
            <w:vAlign w:val="bottom"/>
            <w:hideMark/>
          </w:tcPr>
          <w:p w14:paraId="118BF78D"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w:t>
            </w:r>
          </w:p>
        </w:tc>
        <w:tc>
          <w:tcPr>
            <w:tcW w:w="960" w:type="dxa"/>
            <w:shd w:val="clear" w:color="auto" w:fill="auto"/>
            <w:noWrap/>
            <w:vAlign w:val="bottom"/>
            <w:hideMark/>
          </w:tcPr>
          <w:p w14:paraId="41A4A5BA"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7</w:t>
            </w:r>
          </w:p>
        </w:tc>
        <w:tc>
          <w:tcPr>
            <w:tcW w:w="960" w:type="dxa"/>
            <w:shd w:val="clear" w:color="auto" w:fill="auto"/>
            <w:noWrap/>
            <w:vAlign w:val="bottom"/>
            <w:hideMark/>
          </w:tcPr>
          <w:p w14:paraId="6476B1AD"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8</w:t>
            </w:r>
          </w:p>
        </w:tc>
        <w:tc>
          <w:tcPr>
            <w:tcW w:w="960" w:type="dxa"/>
            <w:shd w:val="clear" w:color="auto" w:fill="auto"/>
            <w:noWrap/>
            <w:vAlign w:val="bottom"/>
            <w:hideMark/>
          </w:tcPr>
          <w:p w14:paraId="388B234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5</w:t>
            </w:r>
          </w:p>
        </w:tc>
        <w:tc>
          <w:tcPr>
            <w:tcW w:w="960" w:type="dxa"/>
            <w:shd w:val="clear" w:color="auto" w:fill="auto"/>
            <w:noWrap/>
            <w:vAlign w:val="bottom"/>
            <w:hideMark/>
          </w:tcPr>
          <w:p w14:paraId="4CD4FDB6"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14</w:t>
            </w:r>
          </w:p>
        </w:tc>
        <w:tc>
          <w:tcPr>
            <w:tcW w:w="960" w:type="dxa"/>
            <w:shd w:val="clear" w:color="auto" w:fill="auto"/>
            <w:noWrap/>
            <w:vAlign w:val="bottom"/>
            <w:hideMark/>
          </w:tcPr>
          <w:p w14:paraId="2215FB52" w14:textId="77777777" w:rsidR="00B41812" w:rsidRPr="00B41812" w:rsidRDefault="00B41812" w:rsidP="00B41812">
            <w:pPr>
              <w:spacing w:after="0" w:line="240" w:lineRule="auto"/>
              <w:jc w:val="right"/>
              <w:rPr>
                <w:rFonts w:eastAsia="Times New Roman" w:cs="Times New Roman"/>
                <w:color w:val="000000"/>
                <w:lang w:eastAsia="sk-SK"/>
              </w:rPr>
            </w:pPr>
            <w:r w:rsidRPr="00B41812">
              <w:rPr>
                <w:rFonts w:eastAsia="Times New Roman" w:cs="Times New Roman"/>
                <w:color w:val="000000"/>
                <w:lang w:eastAsia="sk-SK"/>
              </w:rPr>
              <w:t>6</w:t>
            </w:r>
          </w:p>
        </w:tc>
      </w:tr>
    </w:tbl>
    <w:p w14:paraId="1E6D2D14" w14:textId="77777777" w:rsidR="00B41812" w:rsidRPr="0056354F" w:rsidRDefault="00B41812" w:rsidP="00E40E93">
      <w:pPr>
        <w:ind w:left="4956" w:firstLine="708"/>
        <w:rPr>
          <w:i/>
          <w:iCs/>
          <w:sz w:val="20"/>
          <w:szCs w:val="20"/>
        </w:rPr>
      </w:pPr>
      <w:proofErr w:type="spellStart"/>
      <w:r w:rsidRPr="0056354F">
        <w:rPr>
          <w:i/>
          <w:iCs/>
          <w:sz w:val="20"/>
          <w:szCs w:val="20"/>
        </w:rPr>
        <w:t>Data</w:t>
      </w:r>
      <w:proofErr w:type="spellEnd"/>
      <w:r w:rsidRPr="0056354F">
        <w:rPr>
          <w:i/>
          <w:iCs/>
          <w:sz w:val="20"/>
          <w:szCs w:val="20"/>
        </w:rPr>
        <w:t>: EPO</w:t>
      </w:r>
    </w:p>
    <w:p w14:paraId="36360426" w14:textId="6B1222C7" w:rsidR="00891ADA" w:rsidRPr="0042459E" w:rsidRDefault="0042459E" w:rsidP="007B4A8F">
      <w:pPr>
        <w:jc w:val="both"/>
        <w:rPr>
          <w:lang w:val="en-GB"/>
        </w:rPr>
      </w:pPr>
      <w:r w:rsidRPr="0042459E">
        <w:rPr>
          <w:lang w:val="en-GB"/>
        </w:rPr>
        <w:t xml:space="preserve">When recalculating the number of granted patents per million inhabitants, we observe the highest number of EPO patents in Germany (185) and Austria (165), followed by Slovenia (46) and the </w:t>
      </w:r>
      <w:r w:rsidRPr="0042459E">
        <w:rPr>
          <w:lang w:val="en-GB"/>
        </w:rPr>
        <w:lastRenderedPageBreak/>
        <w:t>Czech Republic (14). Only these four countries have more than 10 granted patents per million inhabitants. Six countries have fewer than 1 granted patent per million inhabitants.</w:t>
      </w:r>
    </w:p>
    <w:p w14:paraId="01544738" w14:textId="2B2F11C6" w:rsidR="00AF6AA4" w:rsidRPr="00AF6AA4" w:rsidRDefault="00AF6AA4" w:rsidP="00AF6AA4">
      <w:pPr>
        <w:pStyle w:val="Popis"/>
        <w:keepNext/>
        <w:spacing w:after="0"/>
        <w:rPr>
          <w:b/>
          <w:bCs/>
          <w:i w:val="0"/>
          <w:iCs w:val="0"/>
          <w:color w:val="auto"/>
          <w:sz w:val="20"/>
          <w:szCs w:val="20"/>
        </w:rPr>
      </w:pPr>
      <w:bookmarkStart w:id="49" w:name="_Toc202166664"/>
      <w:r w:rsidRPr="00AF6AA4">
        <w:rPr>
          <w:b/>
          <w:bCs/>
          <w:i w:val="0"/>
          <w:iCs w:val="0"/>
          <w:color w:val="auto"/>
          <w:sz w:val="20"/>
          <w:szCs w:val="20"/>
        </w:rPr>
        <w:t xml:space="preserve">Table </w:t>
      </w:r>
      <w:r w:rsidRPr="00AF6AA4">
        <w:rPr>
          <w:b/>
          <w:bCs/>
          <w:i w:val="0"/>
          <w:iCs w:val="0"/>
          <w:color w:val="auto"/>
          <w:sz w:val="20"/>
          <w:szCs w:val="20"/>
        </w:rPr>
        <w:fldChar w:fldCharType="begin"/>
      </w:r>
      <w:r w:rsidRPr="00AF6AA4">
        <w:rPr>
          <w:b/>
          <w:bCs/>
          <w:i w:val="0"/>
          <w:iCs w:val="0"/>
          <w:color w:val="auto"/>
          <w:sz w:val="20"/>
          <w:szCs w:val="20"/>
        </w:rPr>
        <w:instrText xml:space="preserve"> SEQ Table \* ARABIC </w:instrText>
      </w:r>
      <w:r w:rsidRPr="00AF6AA4">
        <w:rPr>
          <w:b/>
          <w:bCs/>
          <w:i w:val="0"/>
          <w:iCs w:val="0"/>
          <w:color w:val="auto"/>
          <w:sz w:val="20"/>
          <w:szCs w:val="20"/>
        </w:rPr>
        <w:fldChar w:fldCharType="separate"/>
      </w:r>
      <w:r w:rsidR="00FA21C8">
        <w:rPr>
          <w:b/>
          <w:bCs/>
          <w:i w:val="0"/>
          <w:iCs w:val="0"/>
          <w:noProof/>
          <w:color w:val="auto"/>
          <w:sz w:val="20"/>
          <w:szCs w:val="20"/>
        </w:rPr>
        <w:t>8</w:t>
      </w:r>
      <w:r w:rsidRPr="00AF6AA4">
        <w:rPr>
          <w:b/>
          <w:bCs/>
          <w:i w:val="0"/>
          <w:iCs w:val="0"/>
          <w:color w:val="auto"/>
          <w:sz w:val="20"/>
          <w:szCs w:val="20"/>
        </w:rPr>
        <w:fldChar w:fldCharType="end"/>
      </w:r>
      <w:r w:rsidRPr="00AF6AA4">
        <w:rPr>
          <w:b/>
          <w:bCs/>
          <w:i w:val="0"/>
          <w:iCs w:val="0"/>
          <w:color w:val="auto"/>
          <w:sz w:val="20"/>
          <w:szCs w:val="20"/>
        </w:rPr>
        <w:t xml:space="preserve"> </w:t>
      </w:r>
      <w:proofErr w:type="spellStart"/>
      <w:r w:rsidRPr="00AF6AA4">
        <w:rPr>
          <w:b/>
          <w:bCs/>
          <w:i w:val="0"/>
          <w:iCs w:val="0"/>
          <w:color w:val="auto"/>
          <w:sz w:val="20"/>
          <w:szCs w:val="20"/>
        </w:rPr>
        <w:t>Number</w:t>
      </w:r>
      <w:proofErr w:type="spellEnd"/>
      <w:r w:rsidRPr="00AF6AA4">
        <w:rPr>
          <w:b/>
          <w:bCs/>
          <w:i w:val="0"/>
          <w:iCs w:val="0"/>
          <w:color w:val="auto"/>
          <w:sz w:val="20"/>
          <w:szCs w:val="20"/>
        </w:rPr>
        <w:t xml:space="preserve"> of EPO </w:t>
      </w:r>
      <w:proofErr w:type="spellStart"/>
      <w:r w:rsidRPr="00AF6AA4">
        <w:rPr>
          <w:b/>
          <w:bCs/>
          <w:i w:val="0"/>
          <w:iCs w:val="0"/>
          <w:color w:val="auto"/>
          <w:sz w:val="20"/>
          <w:szCs w:val="20"/>
        </w:rPr>
        <w:t>patents</w:t>
      </w:r>
      <w:bookmarkEnd w:id="49"/>
      <w:proofErr w:type="spellEnd"/>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A7004E" w:rsidRPr="00A7004E" w14:paraId="47C18AA5" w14:textId="77777777" w:rsidTr="00845FFB">
        <w:trPr>
          <w:trHeight w:val="290"/>
        </w:trPr>
        <w:tc>
          <w:tcPr>
            <w:tcW w:w="960" w:type="dxa"/>
            <w:shd w:val="clear" w:color="auto" w:fill="auto"/>
            <w:vAlign w:val="bottom"/>
            <w:hideMark/>
          </w:tcPr>
          <w:p w14:paraId="65D4871A" w14:textId="61DFF113" w:rsidR="00A7004E" w:rsidRPr="00A7004E" w:rsidRDefault="00A7004E" w:rsidP="00A7004E">
            <w:pPr>
              <w:spacing w:after="0" w:line="240" w:lineRule="auto"/>
              <w:rPr>
                <w:rFonts w:eastAsia="Times New Roman" w:cs="Calibri"/>
                <w:b/>
                <w:bCs/>
                <w:lang w:eastAsia="sk-SK"/>
              </w:rPr>
            </w:pPr>
          </w:p>
        </w:tc>
        <w:tc>
          <w:tcPr>
            <w:tcW w:w="960" w:type="dxa"/>
            <w:shd w:val="clear" w:color="26466D" w:fill="26466D"/>
            <w:vAlign w:val="bottom"/>
            <w:hideMark/>
          </w:tcPr>
          <w:p w14:paraId="254FE230"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2019</w:t>
            </w:r>
          </w:p>
        </w:tc>
        <w:tc>
          <w:tcPr>
            <w:tcW w:w="960" w:type="dxa"/>
            <w:shd w:val="clear" w:color="26466D" w:fill="26466D"/>
            <w:vAlign w:val="bottom"/>
            <w:hideMark/>
          </w:tcPr>
          <w:p w14:paraId="04A51AF1"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2020</w:t>
            </w:r>
          </w:p>
        </w:tc>
        <w:tc>
          <w:tcPr>
            <w:tcW w:w="960" w:type="dxa"/>
            <w:shd w:val="clear" w:color="26466D" w:fill="26466D"/>
            <w:vAlign w:val="bottom"/>
            <w:hideMark/>
          </w:tcPr>
          <w:p w14:paraId="4D073850"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2021</w:t>
            </w:r>
          </w:p>
        </w:tc>
        <w:tc>
          <w:tcPr>
            <w:tcW w:w="960" w:type="dxa"/>
            <w:shd w:val="clear" w:color="26466D" w:fill="26466D"/>
            <w:vAlign w:val="bottom"/>
            <w:hideMark/>
          </w:tcPr>
          <w:p w14:paraId="290827B6"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2022</w:t>
            </w:r>
          </w:p>
        </w:tc>
        <w:tc>
          <w:tcPr>
            <w:tcW w:w="960" w:type="dxa"/>
            <w:shd w:val="clear" w:color="26466D" w:fill="26466D"/>
            <w:vAlign w:val="bottom"/>
            <w:hideMark/>
          </w:tcPr>
          <w:p w14:paraId="38E83201"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2023</w:t>
            </w:r>
          </w:p>
        </w:tc>
        <w:tc>
          <w:tcPr>
            <w:tcW w:w="960" w:type="dxa"/>
            <w:shd w:val="clear" w:color="26466D" w:fill="26466D"/>
            <w:vAlign w:val="bottom"/>
            <w:hideMark/>
          </w:tcPr>
          <w:p w14:paraId="3ED335BE" w14:textId="77777777" w:rsidR="00A7004E" w:rsidRPr="00A7004E" w:rsidRDefault="00A7004E" w:rsidP="00A7004E">
            <w:pPr>
              <w:spacing w:after="0" w:line="240" w:lineRule="auto"/>
              <w:jc w:val="right"/>
              <w:rPr>
                <w:rFonts w:eastAsia="Times New Roman" w:cs="Calibri"/>
                <w:b/>
                <w:bCs/>
                <w:color w:val="FFFFFF"/>
                <w:lang w:eastAsia="sk-SK"/>
              </w:rPr>
            </w:pPr>
            <w:r w:rsidRPr="00A7004E">
              <w:rPr>
                <w:rFonts w:eastAsia="Times New Roman" w:cs="Calibri"/>
                <w:b/>
                <w:bCs/>
                <w:color w:val="FFFFFF"/>
                <w:lang w:eastAsia="sk-SK"/>
              </w:rPr>
              <w:t>2024</w:t>
            </w:r>
          </w:p>
        </w:tc>
      </w:tr>
      <w:tr w:rsidR="00A7004E" w:rsidRPr="00A7004E" w14:paraId="59BDD147" w14:textId="77777777" w:rsidTr="00845FFB">
        <w:trPr>
          <w:trHeight w:val="290"/>
        </w:trPr>
        <w:tc>
          <w:tcPr>
            <w:tcW w:w="960" w:type="dxa"/>
            <w:shd w:val="clear" w:color="auto" w:fill="auto"/>
            <w:vAlign w:val="bottom"/>
            <w:hideMark/>
          </w:tcPr>
          <w:p w14:paraId="66F0C6DD"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AT</w:t>
            </w:r>
          </w:p>
        </w:tc>
        <w:tc>
          <w:tcPr>
            <w:tcW w:w="960" w:type="dxa"/>
            <w:shd w:val="clear" w:color="auto" w:fill="auto"/>
            <w:noWrap/>
            <w:vAlign w:val="bottom"/>
            <w:hideMark/>
          </w:tcPr>
          <w:p w14:paraId="3E09EDD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182,49</w:t>
            </w:r>
          </w:p>
        </w:tc>
        <w:tc>
          <w:tcPr>
            <w:tcW w:w="960" w:type="dxa"/>
            <w:shd w:val="clear" w:color="auto" w:fill="auto"/>
            <w:noWrap/>
            <w:vAlign w:val="bottom"/>
            <w:hideMark/>
          </w:tcPr>
          <w:p w14:paraId="1DF63DFB"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192,69</w:t>
            </w:r>
          </w:p>
        </w:tc>
        <w:tc>
          <w:tcPr>
            <w:tcW w:w="960" w:type="dxa"/>
            <w:shd w:val="clear" w:color="auto" w:fill="auto"/>
            <w:noWrap/>
            <w:vAlign w:val="bottom"/>
            <w:hideMark/>
          </w:tcPr>
          <w:p w14:paraId="0AB476BE"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145,62</w:t>
            </w:r>
          </w:p>
        </w:tc>
        <w:tc>
          <w:tcPr>
            <w:tcW w:w="960" w:type="dxa"/>
            <w:shd w:val="clear" w:color="auto" w:fill="auto"/>
            <w:noWrap/>
            <w:vAlign w:val="bottom"/>
            <w:hideMark/>
          </w:tcPr>
          <w:p w14:paraId="483BFF1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126,30</w:t>
            </w:r>
          </w:p>
        </w:tc>
        <w:tc>
          <w:tcPr>
            <w:tcW w:w="960" w:type="dxa"/>
            <w:shd w:val="clear" w:color="auto" w:fill="auto"/>
            <w:noWrap/>
            <w:vAlign w:val="bottom"/>
            <w:hideMark/>
          </w:tcPr>
          <w:p w14:paraId="40B6B5D4"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165,04</w:t>
            </w:r>
          </w:p>
        </w:tc>
        <w:tc>
          <w:tcPr>
            <w:tcW w:w="960" w:type="dxa"/>
            <w:shd w:val="clear" w:color="auto" w:fill="auto"/>
            <w:noWrap/>
            <w:vAlign w:val="bottom"/>
            <w:hideMark/>
          </w:tcPr>
          <w:p w14:paraId="3C6A6BFE"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165,48</w:t>
            </w:r>
          </w:p>
        </w:tc>
      </w:tr>
      <w:tr w:rsidR="00A7004E" w:rsidRPr="00A7004E" w14:paraId="545A66FE" w14:textId="77777777" w:rsidTr="00845FFB">
        <w:trPr>
          <w:trHeight w:val="290"/>
        </w:trPr>
        <w:tc>
          <w:tcPr>
            <w:tcW w:w="960" w:type="dxa"/>
            <w:shd w:val="clear" w:color="auto" w:fill="auto"/>
            <w:vAlign w:val="bottom"/>
            <w:hideMark/>
          </w:tcPr>
          <w:p w14:paraId="6212811C"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BA</w:t>
            </w:r>
          </w:p>
        </w:tc>
        <w:tc>
          <w:tcPr>
            <w:tcW w:w="960" w:type="dxa"/>
            <w:shd w:val="clear" w:color="auto" w:fill="auto"/>
            <w:noWrap/>
            <w:vAlign w:val="bottom"/>
            <w:hideMark/>
          </w:tcPr>
          <w:p w14:paraId="7AEFF3B9"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6265F744"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7CCBDDA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0,32</w:t>
            </w:r>
          </w:p>
        </w:tc>
        <w:tc>
          <w:tcPr>
            <w:tcW w:w="960" w:type="dxa"/>
            <w:shd w:val="clear" w:color="auto" w:fill="auto"/>
            <w:noWrap/>
            <w:vAlign w:val="bottom"/>
            <w:hideMark/>
          </w:tcPr>
          <w:p w14:paraId="3403CD87"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10F076C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740A909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r>
      <w:tr w:rsidR="00A7004E" w:rsidRPr="00A7004E" w14:paraId="13739991" w14:textId="77777777" w:rsidTr="00845FFB">
        <w:trPr>
          <w:trHeight w:val="290"/>
        </w:trPr>
        <w:tc>
          <w:tcPr>
            <w:tcW w:w="960" w:type="dxa"/>
            <w:shd w:val="clear" w:color="auto" w:fill="auto"/>
            <w:vAlign w:val="bottom"/>
            <w:hideMark/>
          </w:tcPr>
          <w:p w14:paraId="2B2E12A3"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BG</w:t>
            </w:r>
          </w:p>
        </w:tc>
        <w:tc>
          <w:tcPr>
            <w:tcW w:w="960" w:type="dxa"/>
            <w:shd w:val="clear" w:color="auto" w:fill="auto"/>
            <w:noWrap/>
            <w:vAlign w:val="bottom"/>
            <w:hideMark/>
          </w:tcPr>
          <w:p w14:paraId="218DD46E"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2,38</w:t>
            </w:r>
          </w:p>
        </w:tc>
        <w:tc>
          <w:tcPr>
            <w:tcW w:w="960" w:type="dxa"/>
            <w:shd w:val="clear" w:color="auto" w:fill="auto"/>
            <w:noWrap/>
            <w:vAlign w:val="bottom"/>
            <w:hideMark/>
          </w:tcPr>
          <w:p w14:paraId="591B31F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2,68</w:t>
            </w:r>
          </w:p>
        </w:tc>
        <w:tc>
          <w:tcPr>
            <w:tcW w:w="960" w:type="dxa"/>
            <w:shd w:val="clear" w:color="auto" w:fill="auto"/>
            <w:noWrap/>
            <w:vAlign w:val="bottom"/>
            <w:hideMark/>
          </w:tcPr>
          <w:p w14:paraId="0357A3F3"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3,43</w:t>
            </w:r>
          </w:p>
        </w:tc>
        <w:tc>
          <w:tcPr>
            <w:tcW w:w="960" w:type="dxa"/>
            <w:shd w:val="clear" w:color="auto" w:fill="auto"/>
            <w:noWrap/>
            <w:vAlign w:val="bottom"/>
            <w:hideMark/>
          </w:tcPr>
          <w:p w14:paraId="543959F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3,28</w:t>
            </w:r>
          </w:p>
        </w:tc>
        <w:tc>
          <w:tcPr>
            <w:tcW w:w="960" w:type="dxa"/>
            <w:shd w:val="clear" w:color="auto" w:fill="auto"/>
            <w:noWrap/>
            <w:vAlign w:val="bottom"/>
            <w:hideMark/>
          </w:tcPr>
          <w:p w14:paraId="373E78B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3,43</w:t>
            </w:r>
          </w:p>
        </w:tc>
        <w:tc>
          <w:tcPr>
            <w:tcW w:w="960" w:type="dxa"/>
            <w:shd w:val="clear" w:color="auto" w:fill="auto"/>
            <w:noWrap/>
            <w:vAlign w:val="bottom"/>
            <w:hideMark/>
          </w:tcPr>
          <w:p w14:paraId="72AA89C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3,28</w:t>
            </w:r>
          </w:p>
        </w:tc>
      </w:tr>
      <w:tr w:rsidR="00A7004E" w:rsidRPr="00A7004E" w14:paraId="26A96C4D" w14:textId="77777777" w:rsidTr="00845FFB">
        <w:trPr>
          <w:trHeight w:val="290"/>
        </w:trPr>
        <w:tc>
          <w:tcPr>
            <w:tcW w:w="960" w:type="dxa"/>
            <w:shd w:val="clear" w:color="auto" w:fill="auto"/>
            <w:vAlign w:val="bottom"/>
            <w:hideMark/>
          </w:tcPr>
          <w:p w14:paraId="54D70B3E"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CZ</w:t>
            </w:r>
          </w:p>
        </w:tc>
        <w:tc>
          <w:tcPr>
            <w:tcW w:w="960" w:type="dxa"/>
            <w:shd w:val="clear" w:color="auto" w:fill="auto"/>
            <w:noWrap/>
            <w:vAlign w:val="bottom"/>
            <w:hideMark/>
          </w:tcPr>
          <w:p w14:paraId="58D732D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16,21</w:t>
            </w:r>
          </w:p>
        </w:tc>
        <w:tc>
          <w:tcPr>
            <w:tcW w:w="960" w:type="dxa"/>
            <w:shd w:val="clear" w:color="auto" w:fill="auto"/>
            <w:noWrap/>
            <w:vAlign w:val="bottom"/>
            <w:hideMark/>
          </w:tcPr>
          <w:p w14:paraId="52C77DB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14,52</w:t>
            </w:r>
          </w:p>
        </w:tc>
        <w:tc>
          <w:tcPr>
            <w:tcW w:w="960" w:type="dxa"/>
            <w:shd w:val="clear" w:color="auto" w:fill="auto"/>
            <w:noWrap/>
            <w:vAlign w:val="bottom"/>
            <w:hideMark/>
          </w:tcPr>
          <w:p w14:paraId="4A2D9943"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12,54</w:t>
            </w:r>
          </w:p>
        </w:tc>
        <w:tc>
          <w:tcPr>
            <w:tcW w:w="960" w:type="dxa"/>
            <w:shd w:val="clear" w:color="auto" w:fill="auto"/>
            <w:noWrap/>
            <w:vAlign w:val="bottom"/>
            <w:hideMark/>
          </w:tcPr>
          <w:p w14:paraId="525D6E63"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8,01</w:t>
            </w:r>
          </w:p>
        </w:tc>
        <w:tc>
          <w:tcPr>
            <w:tcW w:w="960" w:type="dxa"/>
            <w:shd w:val="clear" w:color="auto" w:fill="auto"/>
            <w:noWrap/>
            <w:vAlign w:val="bottom"/>
            <w:hideMark/>
          </w:tcPr>
          <w:p w14:paraId="6560BE0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12,63</w:t>
            </w:r>
          </w:p>
        </w:tc>
        <w:tc>
          <w:tcPr>
            <w:tcW w:w="960" w:type="dxa"/>
            <w:shd w:val="clear" w:color="auto" w:fill="auto"/>
            <w:noWrap/>
            <w:vAlign w:val="bottom"/>
            <w:hideMark/>
          </w:tcPr>
          <w:p w14:paraId="4B6617B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13,57</w:t>
            </w:r>
          </w:p>
        </w:tc>
      </w:tr>
      <w:tr w:rsidR="00A7004E" w:rsidRPr="00A7004E" w14:paraId="58C32350" w14:textId="77777777" w:rsidTr="00845FFB">
        <w:trPr>
          <w:trHeight w:val="290"/>
        </w:trPr>
        <w:tc>
          <w:tcPr>
            <w:tcW w:w="960" w:type="dxa"/>
            <w:shd w:val="clear" w:color="auto" w:fill="auto"/>
            <w:vAlign w:val="bottom"/>
            <w:hideMark/>
          </w:tcPr>
          <w:p w14:paraId="4CAC9A1E"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DE</w:t>
            </w:r>
          </w:p>
        </w:tc>
        <w:tc>
          <w:tcPr>
            <w:tcW w:w="960" w:type="dxa"/>
            <w:shd w:val="clear" w:color="auto" w:fill="auto"/>
            <w:noWrap/>
            <w:vAlign w:val="bottom"/>
            <w:hideMark/>
          </w:tcPr>
          <w:p w14:paraId="14A14A1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252,13</w:t>
            </w:r>
          </w:p>
        </w:tc>
        <w:tc>
          <w:tcPr>
            <w:tcW w:w="960" w:type="dxa"/>
            <w:shd w:val="clear" w:color="auto" w:fill="auto"/>
            <w:noWrap/>
            <w:vAlign w:val="bottom"/>
            <w:hideMark/>
          </w:tcPr>
          <w:p w14:paraId="0AA3278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238,55</w:t>
            </w:r>
          </w:p>
        </w:tc>
        <w:tc>
          <w:tcPr>
            <w:tcW w:w="960" w:type="dxa"/>
            <w:shd w:val="clear" w:color="auto" w:fill="auto"/>
            <w:noWrap/>
            <w:vAlign w:val="bottom"/>
            <w:hideMark/>
          </w:tcPr>
          <w:p w14:paraId="302F0B4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196,34</w:t>
            </w:r>
          </w:p>
        </w:tc>
        <w:tc>
          <w:tcPr>
            <w:tcW w:w="960" w:type="dxa"/>
            <w:shd w:val="clear" w:color="auto" w:fill="auto"/>
            <w:noWrap/>
            <w:vAlign w:val="bottom"/>
            <w:hideMark/>
          </w:tcPr>
          <w:p w14:paraId="17CF877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149,43</w:t>
            </w:r>
          </w:p>
        </w:tc>
        <w:tc>
          <w:tcPr>
            <w:tcW w:w="960" w:type="dxa"/>
            <w:shd w:val="clear" w:color="auto" w:fill="auto"/>
            <w:noWrap/>
            <w:vAlign w:val="bottom"/>
            <w:hideMark/>
          </w:tcPr>
          <w:p w14:paraId="0F8CCBAE"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178,55</w:t>
            </w:r>
          </w:p>
        </w:tc>
        <w:tc>
          <w:tcPr>
            <w:tcW w:w="960" w:type="dxa"/>
            <w:shd w:val="clear" w:color="auto" w:fill="auto"/>
            <w:noWrap/>
            <w:vAlign w:val="bottom"/>
            <w:hideMark/>
          </w:tcPr>
          <w:p w14:paraId="276E97D2"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184,85</w:t>
            </w:r>
          </w:p>
        </w:tc>
      </w:tr>
      <w:tr w:rsidR="00A7004E" w:rsidRPr="00A7004E" w14:paraId="1B5194EA" w14:textId="77777777" w:rsidTr="00845FFB">
        <w:trPr>
          <w:trHeight w:val="290"/>
        </w:trPr>
        <w:tc>
          <w:tcPr>
            <w:tcW w:w="960" w:type="dxa"/>
            <w:shd w:val="clear" w:color="auto" w:fill="auto"/>
            <w:vAlign w:val="bottom"/>
            <w:hideMark/>
          </w:tcPr>
          <w:p w14:paraId="512E8D9A"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HR</w:t>
            </w:r>
          </w:p>
        </w:tc>
        <w:tc>
          <w:tcPr>
            <w:tcW w:w="960" w:type="dxa"/>
            <w:shd w:val="clear" w:color="auto" w:fill="auto"/>
            <w:noWrap/>
            <w:vAlign w:val="bottom"/>
            <w:hideMark/>
          </w:tcPr>
          <w:p w14:paraId="01FB291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3,38</w:t>
            </w:r>
          </w:p>
        </w:tc>
        <w:tc>
          <w:tcPr>
            <w:tcW w:w="960" w:type="dxa"/>
            <w:shd w:val="clear" w:color="auto" w:fill="auto"/>
            <w:noWrap/>
            <w:vAlign w:val="bottom"/>
            <w:hideMark/>
          </w:tcPr>
          <w:p w14:paraId="1B64DAA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2,60</w:t>
            </w:r>
          </w:p>
        </w:tc>
        <w:tc>
          <w:tcPr>
            <w:tcW w:w="960" w:type="dxa"/>
            <w:shd w:val="clear" w:color="auto" w:fill="auto"/>
            <w:noWrap/>
            <w:vAlign w:val="bottom"/>
            <w:hideMark/>
          </w:tcPr>
          <w:p w14:paraId="0726384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1,82</w:t>
            </w:r>
          </w:p>
        </w:tc>
        <w:tc>
          <w:tcPr>
            <w:tcW w:w="960" w:type="dxa"/>
            <w:shd w:val="clear" w:color="auto" w:fill="auto"/>
            <w:noWrap/>
            <w:vAlign w:val="bottom"/>
            <w:hideMark/>
          </w:tcPr>
          <w:p w14:paraId="604AD2D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3,38</w:t>
            </w:r>
          </w:p>
        </w:tc>
        <w:tc>
          <w:tcPr>
            <w:tcW w:w="960" w:type="dxa"/>
            <w:shd w:val="clear" w:color="auto" w:fill="auto"/>
            <w:noWrap/>
            <w:vAlign w:val="bottom"/>
            <w:hideMark/>
          </w:tcPr>
          <w:p w14:paraId="3186648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2,08</w:t>
            </w:r>
          </w:p>
        </w:tc>
        <w:tc>
          <w:tcPr>
            <w:tcW w:w="960" w:type="dxa"/>
            <w:shd w:val="clear" w:color="auto" w:fill="auto"/>
            <w:noWrap/>
            <w:vAlign w:val="bottom"/>
            <w:hideMark/>
          </w:tcPr>
          <w:p w14:paraId="0BCB8FA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1,82</w:t>
            </w:r>
          </w:p>
        </w:tc>
      </w:tr>
      <w:tr w:rsidR="00A7004E" w:rsidRPr="00A7004E" w14:paraId="1ED0ACD1" w14:textId="77777777" w:rsidTr="00845FFB">
        <w:trPr>
          <w:trHeight w:val="290"/>
        </w:trPr>
        <w:tc>
          <w:tcPr>
            <w:tcW w:w="960" w:type="dxa"/>
            <w:shd w:val="clear" w:color="auto" w:fill="auto"/>
            <w:vAlign w:val="bottom"/>
            <w:hideMark/>
          </w:tcPr>
          <w:p w14:paraId="23CA99CB"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HU</w:t>
            </w:r>
          </w:p>
        </w:tc>
        <w:tc>
          <w:tcPr>
            <w:tcW w:w="960" w:type="dxa"/>
            <w:shd w:val="clear" w:color="auto" w:fill="auto"/>
            <w:noWrap/>
            <w:vAlign w:val="bottom"/>
            <w:hideMark/>
          </w:tcPr>
          <w:p w14:paraId="2E7AD0D9"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7,68</w:t>
            </w:r>
          </w:p>
        </w:tc>
        <w:tc>
          <w:tcPr>
            <w:tcW w:w="960" w:type="dxa"/>
            <w:shd w:val="clear" w:color="auto" w:fill="auto"/>
            <w:noWrap/>
            <w:vAlign w:val="bottom"/>
            <w:hideMark/>
          </w:tcPr>
          <w:p w14:paraId="38AACEF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8,20</w:t>
            </w:r>
          </w:p>
        </w:tc>
        <w:tc>
          <w:tcPr>
            <w:tcW w:w="960" w:type="dxa"/>
            <w:shd w:val="clear" w:color="auto" w:fill="auto"/>
            <w:noWrap/>
            <w:vAlign w:val="bottom"/>
            <w:hideMark/>
          </w:tcPr>
          <w:p w14:paraId="0BD324D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5,50</w:t>
            </w:r>
          </w:p>
        </w:tc>
        <w:tc>
          <w:tcPr>
            <w:tcW w:w="960" w:type="dxa"/>
            <w:shd w:val="clear" w:color="auto" w:fill="auto"/>
            <w:noWrap/>
            <w:vAlign w:val="bottom"/>
            <w:hideMark/>
          </w:tcPr>
          <w:p w14:paraId="3E39F62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5,61</w:t>
            </w:r>
          </w:p>
        </w:tc>
        <w:tc>
          <w:tcPr>
            <w:tcW w:w="960" w:type="dxa"/>
            <w:shd w:val="clear" w:color="auto" w:fill="auto"/>
            <w:noWrap/>
            <w:vAlign w:val="bottom"/>
            <w:hideMark/>
          </w:tcPr>
          <w:p w14:paraId="50A5BF3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6,54</w:t>
            </w:r>
          </w:p>
        </w:tc>
        <w:tc>
          <w:tcPr>
            <w:tcW w:w="960" w:type="dxa"/>
            <w:shd w:val="clear" w:color="auto" w:fill="auto"/>
            <w:noWrap/>
            <w:vAlign w:val="bottom"/>
            <w:hideMark/>
          </w:tcPr>
          <w:p w14:paraId="01A4800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5,81</w:t>
            </w:r>
          </w:p>
        </w:tc>
      </w:tr>
      <w:tr w:rsidR="00A7004E" w:rsidRPr="00A7004E" w14:paraId="01CFFB2F" w14:textId="77777777" w:rsidTr="00845FFB">
        <w:trPr>
          <w:trHeight w:val="290"/>
        </w:trPr>
        <w:tc>
          <w:tcPr>
            <w:tcW w:w="960" w:type="dxa"/>
            <w:shd w:val="clear" w:color="auto" w:fill="auto"/>
            <w:vAlign w:val="bottom"/>
            <w:hideMark/>
          </w:tcPr>
          <w:p w14:paraId="468295B5"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MD</w:t>
            </w:r>
          </w:p>
        </w:tc>
        <w:tc>
          <w:tcPr>
            <w:tcW w:w="960" w:type="dxa"/>
            <w:shd w:val="clear" w:color="auto" w:fill="auto"/>
            <w:noWrap/>
            <w:vAlign w:val="bottom"/>
            <w:hideMark/>
          </w:tcPr>
          <w:p w14:paraId="1AB6268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58F1864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0,67</w:t>
            </w:r>
          </w:p>
        </w:tc>
        <w:tc>
          <w:tcPr>
            <w:tcW w:w="960" w:type="dxa"/>
            <w:shd w:val="clear" w:color="auto" w:fill="auto"/>
            <w:noWrap/>
            <w:vAlign w:val="bottom"/>
            <w:hideMark/>
          </w:tcPr>
          <w:p w14:paraId="44BA0FB7"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30F9ADDB"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758F843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1DD14EF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0,33</w:t>
            </w:r>
          </w:p>
        </w:tc>
      </w:tr>
      <w:tr w:rsidR="00A7004E" w:rsidRPr="00A7004E" w14:paraId="60975515" w14:textId="77777777" w:rsidTr="00845FFB">
        <w:trPr>
          <w:trHeight w:val="290"/>
        </w:trPr>
        <w:tc>
          <w:tcPr>
            <w:tcW w:w="960" w:type="dxa"/>
            <w:shd w:val="clear" w:color="auto" w:fill="auto"/>
            <w:vAlign w:val="bottom"/>
            <w:hideMark/>
          </w:tcPr>
          <w:p w14:paraId="22E3E130"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ME</w:t>
            </w:r>
          </w:p>
        </w:tc>
        <w:tc>
          <w:tcPr>
            <w:tcW w:w="960" w:type="dxa"/>
            <w:shd w:val="clear" w:color="auto" w:fill="auto"/>
            <w:noWrap/>
            <w:vAlign w:val="bottom"/>
            <w:hideMark/>
          </w:tcPr>
          <w:p w14:paraId="1B42C13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6AFC009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60B0CE3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79E32682"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1A493AF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c>
          <w:tcPr>
            <w:tcW w:w="960" w:type="dxa"/>
            <w:shd w:val="clear" w:color="auto" w:fill="auto"/>
            <w:noWrap/>
            <w:vAlign w:val="bottom"/>
            <w:hideMark/>
          </w:tcPr>
          <w:p w14:paraId="06680BB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0,00</w:t>
            </w:r>
          </w:p>
        </w:tc>
      </w:tr>
      <w:tr w:rsidR="00A7004E" w:rsidRPr="00A7004E" w14:paraId="2AB751B9" w14:textId="77777777" w:rsidTr="00845FFB">
        <w:trPr>
          <w:trHeight w:val="290"/>
        </w:trPr>
        <w:tc>
          <w:tcPr>
            <w:tcW w:w="960" w:type="dxa"/>
            <w:shd w:val="clear" w:color="auto" w:fill="auto"/>
            <w:vAlign w:val="bottom"/>
            <w:hideMark/>
          </w:tcPr>
          <w:p w14:paraId="28A7F766"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RO</w:t>
            </w:r>
          </w:p>
        </w:tc>
        <w:tc>
          <w:tcPr>
            <w:tcW w:w="960" w:type="dxa"/>
            <w:shd w:val="clear" w:color="auto" w:fill="auto"/>
            <w:noWrap/>
            <w:vAlign w:val="bottom"/>
            <w:hideMark/>
          </w:tcPr>
          <w:p w14:paraId="4ECAC5B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0,74</w:t>
            </w:r>
          </w:p>
        </w:tc>
        <w:tc>
          <w:tcPr>
            <w:tcW w:w="960" w:type="dxa"/>
            <w:shd w:val="clear" w:color="auto" w:fill="auto"/>
            <w:noWrap/>
            <w:vAlign w:val="bottom"/>
            <w:hideMark/>
          </w:tcPr>
          <w:p w14:paraId="540EF5A2"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1,22</w:t>
            </w:r>
          </w:p>
        </w:tc>
        <w:tc>
          <w:tcPr>
            <w:tcW w:w="960" w:type="dxa"/>
            <w:shd w:val="clear" w:color="auto" w:fill="auto"/>
            <w:noWrap/>
            <w:vAlign w:val="bottom"/>
            <w:hideMark/>
          </w:tcPr>
          <w:p w14:paraId="5CF23BF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0,63</w:t>
            </w:r>
          </w:p>
        </w:tc>
        <w:tc>
          <w:tcPr>
            <w:tcW w:w="960" w:type="dxa"/>
            <w:shd w:val="clear" w:color="auto" w:fill="auto"/>
            <w:noWrap/>
            <w:vAlign w:val="bottom"/>
            <w:hideMark/>
          </w:tcPr>
          <w:p w14:paraId="53F44794"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0,85</w:t>
            </w:r>
          </w:p>
        </w:tc>
        <w:tc>
          <w:tcPr>
            <w:tcW w:w="960" w:type="dxa"/>
            <w:shd w:val="clear" w:color="auto" w:fill="auto"/>
            <w:noWrap/>
            <w:vAlign w:val="bottom"/>
            <w:hideMark/>
          </w:tcPr>
          <w:p w14:paraId="5D6ADD7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1,22</w:t>
            </w:r>
          </w:p>
        </w:tc>
        <w:tc>
          <w:tcPr>
            <w:tcW w:w="960" w:type="dxa"/>
            <w:shd w:val="clear" w:color="auto" w:fill="auto"/>
            <w:noWrap/>
            <w:vAlign w:val="bottom"/>
            <w:hideMark/>
          </w:tcPr>
          <w:p w14:paraId="67BF233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1,00</w:t>
            </w:r>
          </w:p>
        </w:tc>
      </w:tr>
      <w:tr w:rsidR="00A7004E" w:rsidRPr="00A7004E" w14:paraId="207A374E" w14:textId="77777777" w:rsidTr="00845FFB">
        <w:trPr>
          <w:trHeight w:val="290"/>
        </w:trPr>
        <w:tc>
          <w:tcPr>
            <w:tcW w:w="960" w:type="dxa"/>
            <w:shd w:val="clear" w:color="auto" w:fill="auto"/>
            <w:vAlign w:val="bottom"/>
            <w:hideMark/>
          </w:tcPr>
          <w:p w14:paraId="55C6DE07"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RS</w:t>
            </w:r>
          </w:p>
        </w:tc>
        <w:tc>
          <w:tcPr>
            <w:tcW w:w="960" w:type="dxa"/>
            <w:shd w:val="clear" w:color="auto" w:fill="auto"/>
            <w:noWrap/>
            <w:vAlign w:val="bottom"/>
            <w:hideMark/>
          </w:tcPr>
          <w:p w14:paraId="494098B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0,90</w:t>
            </w:r>
          </w:p>
        </w:tc>
        <w:tc>
          <w:tcPr>
            <w:tcW w:w="960" w:type="dxa"/>
            <w:shd w:val="clear" w:color="auto" w:fill="auto"/>
            <w:noWrap/>
            <w:vAlign w:val="bottom"/>
            <w:hideMark/>
          </w:tcPr>
          <w:p w14:paraId="4E30A7E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0,75</w:t>
            </w:r>
          </w:p>
        </w:tc>
        <w:tc>
          <w:tcPr>
            <w:tcW w:w="960" w:type="dxa"/>
            <w:shd w:val="clear" w:color="auto" w:fill="auto"/>
            <w:noWrap/>
            <w:vAlign w:val="bottom"/>
            <w:hideMark/>
          </w:tcPr>
          <w:p w14:paraId="3BA75FC7"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0,30</w:t>
            </w:r>
          </w:p>
        </w:tc>
        <w:tc>
          <w:tcPr>
            <w:tcW w:w="960" w:type="dxa"/>
            <w:shd w:val="clear" w:color="auto" w:fill="auto"/>
            <w:noWrap/>
            <w:vAlign w:val="bottom"/>
            <w:hideMark/>
          </w:tcPr>
          <w:p w14:paraId="1F123AF9"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0,45</w:t>
            </w:r>
          </w:p>
        </w:tc>
        <w:tc>
          <w:tcPr>
            <w:tcW w:w="960" w:type="dxa"/>
            <w:shd w:val="clear" w:color="auto" w:fill="auto"/>
            <w:noWrap/>
            <w:vAlign w:val="bottom"/>
            <w:hideMark/>
          </w:tcPr>
          <w:p w14:paraId="196D289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0,90</w:t>
            </w:r>
          </w:p>
        </w:tc>
        <w:tc>
          <w:tcPr>
            <w:tcW w:w="960" w:type="dxa"/>
            <w:shd w:val="clear" w:color="auto" w:fill="auto"/>
            <w:noWrap/>
            <w:vAlign w:val="bottom"/>
            <w:hideMark/>
          </w:tcPr>
          <w:p w14:paraId="0BBB034C"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0,90</w:t>
            </w:r>
          </w:p>
        </w:tc>
      </w:tr>
      <w:tr w:rsidR="00A7004E" w:rsidRPr="00A7004E" w14:paraId="560CB964" w14:textId="77777777" w:rsidTr="00845FFB">
        <w:trPr>
          <w:trHeight w:val="290"/>
        </w:trPr>
        <w:tc>
          <w:tcPr>
            <w:tcW w:w="960" w:type="dxa"/>
            <w:shd w:val="clear" w:color="auto" w:fill="auto"/>
            <w:vAlign w:val="bottom"/>
            <w:hideMark/>
          </w:tcPr>
          <w:p w14:paraId="0BA863C3"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SI</w:t>
            </w:r>
          </w:p>
        </w:tc>
        <w:tc>
          <w:tcPr>
            <w:tcW w:w="960" w:type="dxa"/>
            <w:shd w:val="clear" w:color="auto" w:fill="auto"/>
            <w:noWrap/>
            <w:vAlign w:val="bottom"/>
            <w:hideMark/>
          </w:tcPr>
          <w:p w14:paraId="5607DAB3"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34,01</w:t>
            </w:r>
          </w:p>
        </w:tc>
        <w:tc>
          <w:tcPr>
            <w:tcW w:w="960" w:type="dxa"/>
            <w:shd w:val="clear" w:color="auto" w:fill="auto"/>
            <w:noWrap/>
            <w:vAlign w:val="bottom"/>
            <w:hideMark/>
          </w:tcPr>
          <w:p w14:paraId="065DDAF9"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44,87</w:t>
            </w:r>
          </w:p>
        </w:tc>
        <w:tc>
          <w:tcPr>
            <w:tcW w:w="960" w:type="dxa"/>
            <w:shd w:val="clear" w:color="auto" w:fill="auto"/>
            <w:noWrap/>
            <w:vAlign w:val="bottom"/>
            <w:hideMark/>
          </w:tcPr>
          <w:p w14:paraId="59A6430B"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37,32</w:t>
            </w:r>
          </w:p>
        </w:tc>
        <w:tc>
          <w:tcPr>
            <w:tcW w:w="960" w:type="dxa"/>
            <w:shd w:val="clear" w:color="auto" w:fill="auto"/>
            <w:noWrap/>
            <w:vAlign w:val="bottom"/>
            <w:hideMark/>
          </w:tcPr>
          <w:p w14:paraId="5A66ECDD"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21,73</w:t>
            </w:r>
          </w:p>
        </w:tc>
        <w:tc>
          <w:tcPr>
            <w:tcW w:w="960" w:type="dxa"/>
            <w:shd w:val="clear" w:color="auto" w:fill="auto"/>
            <w:noWrap/>
            <w:vAlign w:val="bottom"/>
            <w:hideMark/>
          </w:tcPr>
          <w:p w14:paraId="3999BB65"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27,40</w:t>
            </w:r>
          </w:p>
        </w:tc>
        <w:tc>
          <w:tcPr>
            <w:tcW w:w="960" w:type="dxa"/>
            <w:shd w:val="clear" w:color="auto" w:fill="auto"/>
            <w:noWrap/>
            <w:vAlign w:val="bottom"/>
            <w:hideMark/>
          </w:tcPr>
          <w:p w14:paraId="59B6D4C0"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45,82</w:t>
            </w:r>
          </w:p>
        </w:tc>
      </w:tr>
      <w:tr w:rsidR="00A7004E" w:rsidRPr="00A7004E" w14:paraId="101D458F" w14:textId="77777777" w:rsidTr="00845FFB">
        <w:trPr>
          <w:trHeight w:val="290"/>
        </w:trPr>
        <w:tc>
          <w:tcPr>
            <w:tcW w:w="960" w:type="dxa"/>
            <w:shd w:val="clear" w:color="auto" w:fill="auto"/>
            <w:vAlign w:val="bottom"/>
            <w:hideMark/>
          </w:tcPr>
          <w:p w14:paraId="413123E5"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SK</w:t>
            </w:r>
          </w:p>
        </w:tc>
        <w:tc>
          <w:tcPr>
            <w:tcW w:w="960" w:type="dxa"/>
            <w:shd w:val="clear" w:color="auto" w:fill="auto"/>
            <w:noWrap/>
            <w:vAlign w:val="bottom"/>
            <w:hideMark/>
          </w:tcPr>
          <w:p w14:paraId="153AD79E"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6,21</w:t>
            </w:r>
          </w:p>
        </w:tc>
        <w:tc>
          <w:tcPr>
            <w:tcW w:w="960" w:type="dxa"/>
            <w:shd w:val="clear" w:color="auto" w:fill="auto"/>
            <w:noWrap/>
            <w:vAlign w:val="bottom"/>
            <w:hideMark/>
          </w:tcPr>
          <w:p w14:paraId="0D6E908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2,74</w:t>
            </w:r>
          </w:p>
        </w:tc>
        <w:tc>
          <w:tcPr>
            <w:tcW w:w="960" w:type="dxa"/>
            <w:shd w:val="clear" w:color="auto" w:fill="auto"/>
            <w:noWrap/>
            <w:vAlign w:val="bottom"/>
            <w:hideMark/>
          </w:tcPr>
          <w:p w14:paraId="65AC6E5A"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6,03</w:t>
            </w:r>
          </w:p>
        </w:tc>
        <w:tc>
          <w:tcPr>
            <w:tcW w:w="960" w:type="dxa"/>
            <w:shd w:val="clear" w:color="auto" w:fill="auto"/>
            <w:noWrap/>
            <w:vAlign w:val="bottom"/>
            <w:hideMark/>
          </w:tcPr>
          <w:p w14:paraId="23125993"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3,11</w:t>
            </w:r>
          </w:p>
        </w:tc>
        <w:tc>
          <w:tcPr>
            <w:tcW w:w="960" w:type="dxa"/>
            <w:shd w:val="clear" w:color="auto" w:fill="auto"/>
            <w:noWrap/>
            <w:vAlign w:val="bottom"/>
            <w:hideMark/>
          </w:tcPr>
          <w:p w14:paraId="12031EF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4,20</w:t>
            </w:r>
          </w:p>
        </w:tc>
        <w:tc>
          <w:tcPr>
            <w:tcW w:w="960" w:type="dxa"/>
            <w:shd w:val="clear" w:color="auto" w:fill="auto"/>
            <w:noWrap/>
            <w:vAlign w:val="bottom"/>
            <w:hideMark/>
          </w:tcPr>
          <w:p w14:paraId="1CC6C26B"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5,48</w:t>
            </w:r>
          </w:p>
        </w:tc>
      </w:tr>
      <w:tr w:rsidR="00A7004E" w:rsidRPr="00A7004E" w14:paraId="33E0435B" w14:textId="77777777" w:rsidTr="00845FFB">
        <w:trPr>
          <w:trHeight w:val="290"/>
        </w:trPr>
        <w:tc>
          <w:tcPr>
            <w:tcW w:w="960" w:type="dxa"/>
            <w:shd w:val="clear" w:color="auto" w:fill="auto"/>
            <w:vAlign w:val="bottom"/>
            <w:hideMark/>
          </w:tcPr>
          <w:p w14:paraId="4E024BC0" w14:textId="77777777" w:rsidR="00A7004E" w:rsidRPr="00A7004E" w:rsidRDefault="00A7004E" w:rsidP="00A7004E">
            <w:pPr>
              <w:spacing w:after="0" w:line="240" w:lineRule="auto"/>
              <w:rPr>
                <w:rFonts w:eastAsia="Times New Roman" w:cs="Calibri"/>
                <w:b/>
                <w:bCs/>
                <w:lang w:eastAsia="sk-SK"/>
              </w:rPr>
            </w:pPr>
            <w:r w:rsidRPr="00A7004E">
              <w:rPr>
                <w:rFonts w:eastAsia="Times New Roman" w:cs="Calibri"/>
                <w:b/>
                <w:bCs/>
                <w:lang w:eastAsia="sk-SK"/>
              </w:rPr>
              <w:t>UA</w:t>
            </w:r>
          </w:p>
        </w:tc>
        <w:tc>
          <w:tcPr>
            <w:tcW w:w="960" w:type="dxa"/>
            <w:shd w:val="clear" w:color="auto" w:fill="auto"/>
            <w:noWrap/>
            <w:vAlign w:val="bottom"/>
            <w:hideMark/>
          </w:tcPr>
          <w:p w14:paraId="4920E58F"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0,15</w:t>
            </w:r>
          </w:p>
        </w:tc>
        <w:tc>
          <w:tcPr>
            <w:tcW w:w="960" w:type="dxa"/>
            <w:shd w:val="clear" w:color="auto" w:fill="auto"/>
            <w:noWrap/>
            <w:vAlign w:val="bottom"/>
            <w:hideMark/>
          </w:tcPr>
          <w:p w14:paraId="0E136C81"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0,18</w:t>
            </w:r>
          </w:p>
        </w:tc>
        <w:tc>
          <w:tcPr>
            <w:tcW w:w="960" w:type="dxa"/>
            <w:shd w:val="clear" w:color="auto" w:fill="auto"/>
            <w:noWrap/>
            <w:vAlign w:val="bottom"/>
            <w:hideMark/>
          </w:tcPr>
          <w:p w14:paraId="1A364444"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0,21</w:t>
            </w:r>
          </w:p>
        </w:tc>
        <w:tc>
          <w:tcPr>
            <w:tcW w:w="960" w:type="dxa"/>
            <w:shd w:val="clear" w:color="auto" w:fill="auto"/>
            <w:noWrap/>
            <w:vAlign w:val="bottom"/>
            <w:hideMark/>
          </w:tcPr>
          <w:p w14:paraId="2EE5AF68"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0,13</w:t>
            </w:r>
          </w:p>
        </w:tc>
        <w:tc>
          <w:tcPr>
            <w:tcW w:w="960" w:type="dxa"/>
            <w:shd w:val="clear" w:color="auto" w:fill="auto"/>
            <w:noWrap/>
            <w:vAlign w:val="bottom"/>
            <w:hideMark/>
          </w:tcPr>
          <w:p w14:paraId="3C87064B"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0,36</w:t>
            </w:r>
          </w:p>
        </w:tc>
        <w:tc>
          <w:tcPr>
            <w:tcW w:w="960" w:type="dxa"/>
            <w:shd w:val="clear" w:color="auto" w:fill="auto"/>
            <w:noWrap/>
            <w:vAlign w:val="bottom"/>
            <w:hideMark/>
          </w:tcPr>
          <w:p w14:paraId="23093919" w14:textId="77777777" w:rsidR="00A7004E" w:rsidRPr="00A7004E" w:rsidRDefault="00A7004E" w:rsidP="00A7004E">
            <w:pPr>
              <w:spacing w:after="0" w:line="240" w:lineRule="auto"/>
              <w:jc w:val="right"/>
              <w:rPr>
                <w:rFonts w:eastAsia="Times New Roman" w:cs="Times New Roman"/>
                <w:color w:val="000000"/>
                <w:lang w:eastAsia="sk-SK"/>
              </w:rPr>
            </w:pPr>
            <w:r w:rsidRPr="00A7004E">
              <w:rPr>
                <w:rFonts w:eastAsia="Times New Roman" w:cs="Times New Roman"/>
                <w:color w:val="000000"/>
                <w:lang w:eastAsia="sk-SK"/>
              </w:rPr>
              <w:t>0,15</w:t>
            </w:r>
          </w:p>
        </w:tc>
      </w:tr>
    </w:tbl>
    <w:p w14:paraId="3DAE41C5" w14:textId="77777777" w:rsidR="00AF6AA4" w:rsidRPr="0056354F" w:rsidRDefault="00AF6AA4" w:rsidP="00845FFB">
      <w:pPr>
        <w:ind w:left="4956" w:firstLine="708"/>
        <w:rPr>
          <w:i/>
          <w:iCs/>
          <w:sz w:val="20"/>
          <w:szCs w:val="20"/>
        </w:rPr>
      </w:pPr>
      <w:proofErr w:type="spellStart"/>
      <w:r w:rsidRPr="0056354F">
        <w:rPr>
          <w:i/>
          <w:iCs/>
          <w:sz w:val="20"/>
          <w:szCs w:val="20"/>
        </w:rPr>
        <w:t>Data</w:t>
      </w:r>
      <w:proofErr w:type="spellEnd"/>
      <w:r w:rsidRPr="0056354F">
        <w:rPr>
          <w:i/>
          <w:iCs/>
          <w:sz w:val="20"/>
          <w:szCs w:val="20"/>
        </w:rPr>
        <w:t>: EPO</w:t>
      </w:r>
    </w:p>
    <w:p w14:paraId="4EFF101B" w14:textId="77777777" w:rsidR="007F07CA" w:rsidRDefault="007F07CA" w:rsidP="0079303B"/>
    <w:p w14:paraId="24CB5C33" w14:textId="322ADEED" w:rsidR="007F07CA" w:rsidRPr="002E7249" w:rsidRDefault="007F07CA" w:rsidP="007F07CA">
      <w:pPr>
        <w:pStyle w:val="Nadpis2"/>
        <w:numPr>
          <w:ilvl w:val="1"/>
          <w:numId w:val="1"/>
        </w:numPr>
        <w:spacing w:after="120"/>
        <w:rPr>
          <w:b/>
          <w:bCs/>
          <w:lang w:val="en-GB"/>
        </w:rPr>
      </w:pPr>
      <w:bookmarkStart w:id="50" w:name="_Toc107413811"/>
      <w:bookmarkStart w:id="51" w:name="_Toc202166687"/>
      <w:r w:rsidRPr="00673111">
        <w:rPr>
          <w:b/>
          <w:lang w:val="en-GB" w:eastAsia="sk-SK"/>
        </w:rPr>
        <w:t>Short-term and long-term effects</w:t>
      </w:r>
      <w:bookmarkEnd w:id="50"/>
      <w:bookmarkEnd w:id="51"/>
    </w:p>
    <w:p w14:paraId="2A5A87AD" w14:textId="77777777" w:rsidR="00325C06" w:rsidRDefault="00325C06" w:rsidP="00845FFB">
      <w:pPr>
        <w:jc w:val="both"/>
      </w:pPr>
    </w:p>
    <w:p w14:paraId="6606CB73" w14:textId="77777777" w:rsidR="00325C06" w:rsidRPr="00325C06" w:rsidRDefault="00325C06" w:rsidP="00325C06">
      <w:pPr>
        <w:jc w:val="both"/>
        <w:rPr>
          <w:lang w:val="en-GB"/>
        </w:rPr>
      </w:pPr>
      <w:r w:rsidRPr="00325C06">
        <w:rPr>
          <w:lang w:val="en-GB"/>
        </w:rPr>
        <w:t>The highest proportion of SMEs reporting product innovations is found in the Czech Republic (35.15%), Slovenia (34.78%), and Croatia (34.6%). The lowest proportion is in Ukraine (4.43%), Romania (6.66%), and Moldova (9.31%).</w:t>
      </w:r>
    </w:p>
    <w:p w14:paraId="2121CF59" w14:textId="08620C45" w:rsidR="00A32787" w:rsidRPr="00A32787" w:rsidRDefault="00A32787" w:rsidP="00A32787">
      <w:pPr>
        <w:pStyle w:val="Popis"/>
        <w:keepNext/>
        <w:spacing w:after="120"/>
        <w:rPr>
          <w:b/>
          <w:bCs/>
          <w:i w:val="0"/>
          <w:iCs w:val="0"/>
          <w:color w:val="auto"/>
          <w:sz w:val="20"/>
          <w:szCs w:val="20"/>
        </w:rPr>
      </w:pPr>
      <w:bookmarkStart w:id="52" w:name="_Toc202166653"/>
      <w:proofErr w:type="spellStart"/>
      <w:r w:rsidRPr="00A32787">
        <w:rPr>
          <w:b/>
          <w:bCs/>
          <w:i w:val="0"/>
          <w:iCs w:val="0"/>
          <w:color w:val="auto"/>
          <w:sz w:val="20"/>
          <w:szCs w:val="20"/>
        </w:rPr>
        <w:t>Graph</w:t>
      </w:r>
      <w:proofErr w:type="spellEnd"/>
      <w:r w:rsidRPr="00A32787">
        <w:rPr>
          <w:b/>
          <w:bCs/>
          <w:i w:val="0"/>
          <w:iCs w:val="0"/>
          <w:color w:val="auto"/>
          <w:sz w:val="20"/>
          <w:szCs w:val="20"/>
        </w:rPr>
        <w:t xml:space="preserve">  </w:t>
      </w:r>
      <w:r w:rsidRPr="00A32787">
        <w:rPr>
          <w:b/>
          <w:bCs/>
          <w:i w:val="0"/>
          <w:iCs w:val="0"/>
          <w:color w:val="auto"/>
          <w:sz w:val="20"/>
          <w:szCs w:val="20"/>
        </w:rPr>
        <w:fldChar w:fldCharType="begin"/>
      </w:r>
      <w:r w:rsidRPr="00A32787">
        <w:rPr>
          <w:b/>
          <w:bCs/>
          <w:i w:val="0"/>
          <w:iCs w:val="0"/>
          <w:color w:val="auto"/>
          <w:sz w:val="20"/>
          <w:szCs w:val="20"/>
        </w:rPr>
        <w:instrText xml:space="preserve"> SEQ Graph_ \* ARABIC </w:instrText>
      </w:r>
      <w:r w:rsidRPr="00A32787">
        <w:rPr>
          <w:b/>
          <w:bCs/>
          <w:i w:val="0"/>
          <w:iCs w:val="0"/>
          <w:color w:val="auto"/>
          <w:sz w:val="20"/>
          <w:szCs w:val="20"/>
        </w:rPr>
        <w:fldChar w:fldCharType="separate"/>
      </w:r>
      <w:r w:rsidR="00FE761C">
        <w:rPr>
          <w:b/>
          <w:bCs/>
          <w:i w:val="0"/>
          <w:iCs w:val="0"/>
          <w:noProof/>
          <w:color w:val="auto"/>
          <w:sz w:val="20"/>
          <w:szCs w:val="20"/>
        </w:rPr>
        <w:t>23</w:t>
      </w:r>
      <w:r w:rsidRPr="00A32787">
        <w:rPr>
          <w:b/>
          <w:bCs/>
          <w:i w:val="0"/>
          <w:iCs w:val="0"/>
          <w:color w:val="auto"/>
          <w:sz w:val="20"/>
          <w:szCs w:val="20"/>
        </w:rPr>
        <w:fldChar w:fldCharType="end"/>
      </w:r>
      <w:r w:rsidRPr="00A32787">
        <w:rPr>
          <w:b/>
          <w:bCs/>
          <w:i w:val="0"/>
          <w:iCs w:val="0"/>
          <w:color w:val="auto"/>
          <w:sz w:val="20"/>
          <w:szCs w:val="20"/>
        </w:rPr>
        <w:t xml:space="preserve"> </w:t>
      </w:r>
      <w:proofErr w:type="spellStart"/>
      <w:r w:rsidRPr="00A32787">
        <w:rPr>
          <w:b/>
          <w:bCs/>
          <w:i w:val="0"/>
          <w:iCs w:val="0"/>
          <w:color w:val="auto"/>
          <w:sz w:val="20"/>
          <w:szCs w:val="20"/>
        </w:rPr>
        <w:t>SMEs</w:t>
      </w:r>
      <w:proofErr w:type="spellEnd"/>
      <w:r w:rsidRPr="00A32787">
        <w:rPr>
          <w:b/>
          <w:bCs/>
          <w:i w:val="0"/>
          <w:iCs w:val="0"/>
          <w:color w:val="auto"/>
          <w:sz w:val="20"/>
          <w:szCs w:val="20"/>
        </w:rPr>
        <w:t xml:space="preserve"> </w:t>
      </w:r>
      <w:proofErr w:type="spellStart"/>
      <w:r w:rsidRPr="00A32787">
        <w:rPr>
          <w:b/>
          <w:bCs/>
          <w:i w:val="0"/>
          <w:iCs w:val="0"/>
          <w:color w:val="auto"/>
          <w:sz w:val="20"/>
          <w:szCs w:val="20"/>
        </w:rPr>
        <w:t>introducing</w:t>
      </w:r>
      <w:proofErr w:type="spellEnd"/>
      <w:r w:rsidRPr="00A32787">
        <w:rPr>
          <w:b/>
          <w:bCs/>
          <w:i w:val="0"/>
          <w:iCs w:val="0"/>
          <w:color w:val="auto"/>
          <w:sz w:val="20"/>
          <w:szCs w:val="20"/>
        </w:rPr>
        <w:t xml:space="preserve"> </w:t>
      </w:r>
      <w:proofErr w:type="spellStart"/>
      <w:r w:rsidRPr="00A32787">
        <w:rPr>
          <w:b/>
          <w:bCs/>
          <w:i w:val="0"/>
          <w:iCs w:val="0"/>
          <w:color w:val="auto"/>
          <w:sz w:val="20"/>
          <w:szCs w:val="20"/>
        </w:rPr>
        <w:t>product</w:t>
      </w:r>
      <w:proofErr w:type="spellEnd"/>
      <w:r w:rsidRPr="00A32787">
        <w:rPr>
          <w:b/>
          <w:bCs/>
          <w:i w:val="0"/>
          <w:iCs w:val="0"/>
          <w:color w:val="auto"/>
          <w:sz w:val="20"/>
          <w:szCs w:val="20"/>
        </w:rPr>
        <w:t xml:space="preserve"> </w:t>
      </w:r>
      <w:proofErr w:type="spellStart"/>
      <w:r w:rsidRPr="00A32787">
        <w:rPr>
          <w:b/>
          <w:bCs/>
          <w:i w:val="0"/>
          <w:iCs w:val="0"/>
          <w:color w:val="auto"/>
          <w:sz w:val="20"/>
          <w:szCs w:val="20"/>
        </w:rPr>
        <w:t>innovations</w:t>
      </w:r>
      <w:proofErr w:type="spellEnd"/>
      <w:r w:rsidRPr="00A32787">
        <w:rPr>
          <w:b/>
          <w:bCs/>
          <w:i w:val="0"/>
          <w:iCs w:val="0"/>
          <w:color w:val="auto"/>
          <w:sz w:val="20"/>
          <w:szCs w:val="20"/>
        </w:rPr>
        <w:t xml:space="preserve"> (% </w:t>
      </w:r>
      <w:proofErr w:type="spellStart"/>
      <w:r w:rsidRPr="00A32787">
        <w:rPr>
          <w:b/>
          <w:bCs/>
          <w:i w:val="0"/>
          <w:iCs w:val="0"/>
          <w:color w:val="auto"/>
          <w:sz w:val="20"/>
          <w:szCs w:val="20"/>
        </w:rPr>
        <w:t>share</w:t>
      </w:r>
      <w:proofErr w:type="spellEnd"/>
      <w:r w:rsidRPr="00A32787">
        <w:rPr>
          <w:b/>
          <w:bCs/>
          <w:i w:val="0"/>
          <w:iCs w:val="0"/>
          <w:color w:val="auto"/>
          <w:sz w:val="20"/>
          <w:szCs w:val="20"/>
        </w:rPr>
        <w:t>)</w:t>
      </w:r>
      <w:bookmarkEnd w:id="52"/>
    </w:p>
    <w:p w14:paraId="08BE9BBE" w14:textId="0A9EA50F" w:rsidR="00AA1EB6" w:rsidRDefault="00AA1EB6" w:rsidP="00CE277B">
      <w:pPr>
        <w:spacing w:after="0"/>
        <w:rPr>
          <w:i/>
          <w:iCs/>
          <w:sz w:val="20"/>
          <w:szCs w:val="20"/>
        </w:rPr>
      </w:pPr>
      <w:r>
        <w:rPr>
          <w:noProof/>
          <w14:ligatures w14:val="standardContextual"/>
        </w:rPr>
        <w:drawing>
          <wp:inline distT="0" distB="0" distL="0" distR="0" wp14:anchorId="032EF29D" wp14:editId="75CBC5CB">
            <wp:extent cx="5759450" cy="2618105"/>
            <wp:effectExtent l="0" t="0" r="12700" b="10795"/>
            <wp:docPr id="1095778131" name="Graf 1">
              <a:extLst xmlns:a="http://schemas.openxmlformats.org/drawingml/2006/main">
                <a:ext uri="{FF2B5EF4-FFF2-40B4-BE49-F238E27FC236}">
                  <a16:creationId xmlns:a16="http://schemas.microsoft.com/office/drawing/2014/main" id="{1A1EA42E-6081-481B-9266-A81ECCB831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A79877C" w14:textId="77777777" w:rsidR="00CE277B" w:rsidRDefault="00CE277B" w:rsidP="009F0F19">
      <w:pPr>
        <w:jc w:val="right"/>
        <w:rPr>
          <w:i/>
          <w:iCs/>
          <w:sz w:val="20"/>
          <w:szCs w:val="20"/>
        </w:rPr>
      </w:pPr>
      <w:proofErr w:type="spellStart"/>
      <w:r>
        <w:rPr>
          <w:i/>
          <w:iCs/>
          <w:sz w:val="20"/>
          <w:szCs w:val="20"/>
        </w:rPr>
        <w:t>Source</w:t>
      </w:r>
      <w:proofErr w:type="spellEnd"/>
      <w:r>
        <w:rPr>
          <w:i/>
          <w:iCs/>
          <w:sz w:val="20"/>
          <w:szCs w:val="20"/>
        </w:rPr>
        <w:t>: EIS 2024</w:t>
      </w:r>
    </w:p>
    <w:p w14:paraId="3F5C34C4" w14:textId="77777777" w:rsidR="00FC2F8A" w:rsidRDefault="00FC2F8A" w:rsidP="00222D32">
      <w:pPr>
        <w:rPr>
          <w:i/>
          <w:iCs/>
          <w:sz w:val="20"/>
          <w:szCs w:val="20"/>
        </w:rPr>
      </w:pPr>
    </w:p>
    <w:p w14:paraId="7A698320" w14:textId="77777777" w:rsidR="001F20CD" w:rsidRDefault="001F20CD" w:rsidP="00845FFB">
      <w:pPr>
        <w:jc w:val="both"/>
      </w:pPr>
    </w:p>
    <w:p w14:paraId="5268A6CD" w14:textId="7067DE92" w:rsidR="001F20CD" w:rsidRPr="001F20CD" w:rsidRDefault="001F20CD" w:rsidP="00845FFB">
      <w:pPr>
        <w:jc w:val="both"/>
        <w:rPr>
          <w:lang w:val="en-GB"/>
        </w:rPr>
      </w:pPr>
      <w:r w:rsidRPr="001F20CD">
        <w:rPr>
          <w:lang w:val="en-GB"/>
        </w:rPr>
        <w:t xml:space="preserve">The graph below clearly shows that the countries of the Danube region significantly </w:t>
      </w:r>
      <w:proofErr w:type="gramStart"/>
      <w:r w:rsidRPr="001F20CD">
        <w:rPr>
          <w:lang w:val="en-GB"/>
        </w:rPr>
        <w:t>lag behind</w:t>
      </w:r>
      <w:proofErr w:type="gramEnd"/>
      <w:r w:rsidRPr="001F20CD">
        <w:rPr>
          <w:lang w:val="en-GB"/>
        </w:rPr>
        <w:t xml:space="preserve"> in the share of employment in knowledge-intensive activities. While Luxembourg has a share of 27.70%, the best-performing country in the region, Austria, has a share of 16%. Following Austria are Germany (15.6%) and Slovenia (15.4%). The lowest shares can be observed in Moldova (4.91%), Romania (8.1%), and Bosnia and Herzegovina (8.5%).</w:t>
      </w:r>
    </w:p>
    <w:p w14:paraId="66410309" w14:textId="4AC462EA" w:rsidR="00A30444" w:rsidRPr="00A30444" w:rsidRDefault="00A30444" w:rsidP="00A30444">
      <w:pPr>
        <w:pStyle w:val="Popis"/>
        <w:keepNext/>
        <w:spacing w:after="120"/>
        <w:rPr>
          <w:b/>
          <w:bCs/>
          <w:i w:val="0"/>
          <w:iCs w:val="0"/>
          <w:color w:val="auto"/>
          <w:sz w:val="20"/>
          <w:szCs w:val="20"/>
        </w:rPr>
      </w:pPr>
      <w:bookmarkStart w:id="53" w:name="_Toc202166654"/>
      <w:proofErr w:type="spellStart"/>
      <w:r w:rsidRPr="00A30444">
        <w:rPr>
          <w:b/>
          <w:bCs/>
          <w:i w:val="0"/>
          <w:iCs w:val="0"/>
          <w:color w:val="auto"/>
          <w:sz w:val="20"/>
          <w:szCs w:val="20"/>
        </w:rPr>
        <w:t>Graph</w:t>
      </w:r>
      <w:proofErr w:type="spellEnd"/>
      <w:r w:rsidRPr="00A30444">
        <w:rPr>
          <w:b/>
          <w:bCs/>
          <w:i w:val="0"/>
          <w:iCs w:val="0"/>
          <w:color w:val="auto"/>
          <w:sz w:val="20"/>
          <w:szCs w:val="20"/>
        </w:rPr>
        <w:t xml:space="preserve">  </w:t>
      </w:r>
      <w:r w:rsidRPr="00A30444">
        <w:rPr>
          <w:b/>
          <w:bCs/>
          <w:i w:val="0"/>
          <w:iCs w:val="0"/>
          <w:color w:val="auto"/>
          <w:sz w:val="20"/>
          <w:szCs w:val="20"/>
        </w:rPr>
        <w:fldChar w:fldCharType="begin"/>
      </w:r>
      <w:r w:rsidRPr="00A30444">
        <w:rPr>
          <w:b/>
          <w:bCs/>
          <w:i w:val="0"/>
          <w:iCs w:val="0"/>
          <w:color w:val="auto"/>
          <w:sz w:val="20"/>
          <w:szCs w:val="20"/>
        </w:rPr>
        <w:instrText xml:space="preserve"> SEQ Graph_ \* ARABIC </w:instrText>
      </w:r>
      <w:r w:rsidRPr="00A30444">
        <w:rPr>
          <w:b/>
          <w:bCs/>
          <w:i w:val="0"/>
          <w:iCs w:val="0"/>
          <w:color w:val="auto"/>
          <w:sz w:val="20"/>
          <w:szCs w:val="20"/>
        </w:rPr>
        <w:fldChar w:fldCharType="separate"/>
      </w:r>
      <w:r w:rsidR="00FE761C">
        <w:rPr>
          <w:b/>
          <w:bCs/>
          <w:i w:val="0"/>
          <w:iCs w:val="0"/>
          <w:noProof/>
          <w:color w:val="auto"/>
          <w:sz w:val="20"/>
          <w:szCs w:val="20"/>
        </w:rPr>
        <w:t>24</w:t>
      </w:r>
      <w:r w:rsidRPr="00A30444">
        <w:rPr>
          <w:b/>
          <w:bCs/>
          <w:i w:val="0"/>
          <w:iCs w:val="0"/>
          <w:color w:val="auto"/>
          <w:sz w:val="20"/>
          <w:szCs w:val="20"/>
        </w:rPr>
        <w:fldChar w:fldCharType="end"/>
      </w:r>
      <w:r w:rsidRPr="00A30444">
        <w:rPr>
          <w:b/>
          <w:bCs/>
          <w:i w:val="0"/>
          <w:iCs w:val="0"/>
          <w:color w:val="auto"/>
          <w:sz w:val="20"/>
          <w:szCs w:val="20"/>
        </w:rPr>
        <w:t xml:space="preserve"> </w:t>
      </w:r>
      <w:proofErr w:type="spellStart"/>
      <w:r w:rsidRPr="00A30444">
        <w:rPr>
          <w:b/>
          <w:bCs/>
          <w:i w:val="0"/>
          <w:iCs w:val="0"/>
          <w:color w:val="auto"/>
          <w:sz w:val="20"/>
          <w:szCs w:val="20"/>
        </w:rPr>
        <w:t>Employment</w:t>
      </w:r>
      <w:proofErr w:type="spellEnd"/>
      <w:r w:rsidRPr="00A30444">
        <w:rPr>
          <w:b/>
          <w:bCs/>
          <w:i w:val="0"/>
          <w:iCs w:val="0"/>
          <w:color w:val="auto"/>
          <w:sz w:val="20"/>
          <w:szCs w:val="20"/>
        </w:rPr>
        <w:t xml:space="preserve"> in </w:t>
      </w:r>
      <w:proofErr w:type="spellStart"/>
      <w:r w:rsidRPr="00A30444">
        <w:rPr>
          <w:b/>
          <w:bCs/>
          <w:i w:val="0"/>
          <w:iCs w:val="0"/>
          <w:color w:val="auto"/>
          <w:sz w:val="20"/>
          <w:szCs w:val="20"/>
        </w:rPr>
        <w:t>knowledge-intensive</w:t>
      </w:r>
      <w:proofErr w:type="spellEnd"/>
      <w:r w:rsidRPr="00A30444">
        <w:rPr>
          <w:b/>
          <w:bCs/>
          <w:i w:val="0"/>
          <w:iCs w:val="0"/>
          <w:color w:val="auto"/>
          <w:sz w:val="20"/>
          <w:szCs w:val="20"/>
        </w:rPr>
        <w:t xml:space="preserve"> </w:t>
      </w:r>
      <w:proofErr w:type="spellStart"/>
      <w:r w:rsidRPr="00A30444">
        <w:rPr>
          <w:b/>
          <w:bCs/>
          <w:i w:val="0"/>
          <w:iCs w:val="0"/>
          <w:color w:val="auto"/>
          <w:sz w:val="20"/>
          <w:szCs w:val="20"/>
        </w:rPr>
        <w:t>activities</w:t>
      </w:r>
      <w:proofErr w:type="spellEnd"/>
      <w:r w:rsidRPr="00A30444">
        <w:rPr>
          <w:b/>
          <w:bCs/>
          <w:i w:val="0"/>
          <w:iCs w:val="0"/>
          <w:color w:val="auto"/>
          <w:sz w:val="20"/>
          <w:szCs w:val="20"/>
        </w:rPr>
        <w:t xml:space="preserve"> (% </w:t>
      </w:r>
      <w:proofErr w:type="spellStart"/>
      <w:r w:rsidRPr="00A30444">
        <w:rPr>
          <w:b/>
          <w:bCs/>
          <w:i w:val="0"/>
          <w:iCs w:val="0"/>
          <w:color w:val="auto"/>
          <w:sz w:val="20"/>
          <w:szCs w:val="20"/>
        </w:rPr>
        <w:t>share</w:t>
      </w:r>
      <w:proofErr w:type="spellEnd"/>
      <w:r w:rsidRPr="00A30444">
        <w:rPr>
          <w:b/>
          <w:bCs/>
          <w:i w:val="0"/>
          <w:iCs w:val="0"/>
          <w:color w:val="auto"/>
          <w:sz w:val="20"/>
          <w:szCs w:val="20"/>
        </w:rPr>
        <w:t>)</w:t>
      </w:r>
      <w:bookmarkEnd w:id="53"/>
    </w:p>
    <w:p w14:paraId="56E48FE9" w14:textId="750C2165" w:rsidR="00DC6455" w:rsidRDefault="00190B89" w:rsidP="006D31AD">
      <w:pPr>
        <w:spacing w:after="0"/>
        <w:rPr>
          <w:i/>
          <w:iCs/>
          <w:sz w:val="20"/>
          <w:szCs w:val="20"/>
        </w:rPr>
      </w:pPr>
      <w:r>
        <w:rPr>
          <w:noProof/>
          <w14:ligatures w14:val="standardContextual"/>
        </w:rPr>
        <w:drawing>
          <wp:inline distT="0" distB="0" distL="0" distR="0" wp14:anchorId="6D6A158D" wp14:editId="2490DC5B">
            <wp:extent cx="5759450" cy="2880000"/>
            <wp:effectExtent l="0" t="0" r="12700" b="15875"/>
            <wp:docPr id="524999247" name="Graf 1">
              <a:extLst xmlns:a="http://schemas.openxmlformats.org/drawingml/2006/main">
                <a:ext uri="{FF2B5EF4-FFF2-40B4-BE49-F238E27FC236}">
                  <a16:creationId xmlns:a16="http://schemas.microsoft.com/office/drawing/2014/main" id="{8BD5953B-1EFD-831D-ACE1-84D3000F3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5FDF795" w14:textId="77777777" w:rsidR="00190B89" w:rsidRDefault="00190B89" w:rsidP="009F0F19">
      <w:pPr>
        <w:spacing w:after="0"/>
        <w:jc w:val="right"/>
        <w:rPr>
          <w:i/>
          <w:iCs/>
          <w:sz w:val="20"/>
          <w:szCs w:val="20"/>
        </w:rPr>
      </w:pPr>
      <w:proofErr w:type="spellStart"/>
      <w:r>
        <w:rPr>
          <w:i/>
          <w:iCs/>
          <w:sz w:val="20"/>
          <w:szCs w:val="20"/>
        </w:rPr>
        <w:t>Source</w:t>
      </w:r>
      <w:proofErr w:type="spellEnd"/>
      <w:r>
        <w:rPr>
          <w:i/>
          <w:iCs/>
          <w:sz w:val="20"/>
          <w:szCs w:val="20"/>
        </w:rPr>
        <w:t>: EIS 2024</w:t>
      </w:r>
    </w:p>
    <w:p w14:paraId="3ACA0A9B" w14:textId="5B6BE88A" w:rsidR="00A30444" w:rsidRDefault="00A30444" w:rsidP="009F0F19">
      <w:pPr>
        <w:jc w:val="right"/>
        <w:rPr>
          <w:i/>
          <w:iCs/>
          <w:sz w:val="20"/>
          <w:szCs w:val="20"/>
        </w:rPr>
      </w:pPr>
      <w:r>
        <w:rPr>
          <w:i/>
          <w:iCs/>
          <w:sz w:val="20"/>
          <w:szCs w:val="20"/>
        </w:rPr>
        <w:t>Note:</w:t>
      </w:r>
      <w:r w:rsidRPr="00A30444">
        <w:t xml:space="preserve"> </w:t>
      </w:r>
      <w:r w:rsidRPr="00A30444">
        <w:rPr>
          <w:i/>
          <w:iCs/>
          <w:sz w:val="20"/>
          <w:szCs w:val="20"/>
        </w:rPr>
        <w:t>MD, UA, UK (2023)</w:t>
      </w:r>
      <w:r>
        <w:rPr>
          <w:i/>
          <w:iCs/>
          <w:sz w:val="20"/>
          <w:szCs w:val="20"/>
        </w:rPr>
        <w:t xml:space="preserve">; </w:t>
      </w:r>
      <w:r w:rsidRPr="00A30444">
        <w:rPr>
          <w:i/>
          <w:iCs/>
          <w:sz w:val="20"/>
          <w:szCs w:val="20"/>
        </w:rPr>
        <w:t>ME(N/A)</w:t>
      </w:r>
    </w:p>
    <w:p w14:paraId="3B1FFBA4" w14:textId="77777777" w:rsidR="00DC6455" w:rsidRDefault="00DC6455" w:rsidP="00222D32">
      <w:pPr>
        <w:rPr>
          <w:i/>
          <w:iCs/>
          <w:sz w:val="20"/>
          <w:szCs w:val="20"/>
        </w:rPr>
      </w:pPr>
    </w:p>
    <w:p w14:paraId="0BAC01A1" w14:textId="0509D7D7" w:rsidR="002679F7" w:rsidRPr="002679F7" w:rsidRDefault="002679F7" w:rsidP="00C43146">
      <w:pPr>
        <w:jc w:val="both"/>
        <w:rPr>
          <w:lang w:val="en-GB"/>
        </w:rPr>
      </w:pPr>
      <w:r w:rsidRPr="002679F7">
        <w:rPr>
          <w:lang w:val="en-GB"/>
        </w:rPr>
        <w:t>The sales of new or significantly improved products by innovative companies represent another way to measure the innovativeness of countries. This comparison allows us to evaluate both the creation of new products and the improvement of existing ones. In this comparison, Ireland leads the EU with 42.38%. Among the countries in the region, Slovakia ranks highest (14.94%), followed by the Czech Republic (14.43%) and Germany (14.05%). Conversely, the lowest shares are in Montenegro (1.6%), Ukraine (1.1%), and Moldova (1.6%).</w:t>
      </w:r>
    </w:p>
    <w:p w14:paraId="16AF71C9" w14:textId="7FCCDE02" w:rsidR="00610E37" w:rsidRPr="00975C4A" w:rsidRDefault="00610E37" w:rsidP="00975C4A">
      <w:pPr>
        <w:pStyle w:val="Popis"/>
        <w:keepNext/>
        <w:spacing w:after="120"/>
        <w:rPr>
          <w:b/>
          <w:bCs/>
          <w:i w:val="0"/>
          <w:iCs w:val="0"/>
          <w:color w:val="auto"/>
          <w:sz w:val="20"/>
          <w:szCs w:val="20"/>
        </w:rPr>
      </w:pPr>
      <w:bookmarkStart w:id="54" w:name="_Toc202166655"/>
      <w:proofErr w:type="spellStart"/>
      <w:r w:rsidRPr="00975C4A">
        <w:rPr>
          <w:b/>
          <w:bCs/>
          <w:i w:val="0"/>
          <w:iCs w:val="0"/>
          <w:color w:val="auto"/>
          <w:sz w:val="20"/>
          <w:szCs w:val="20"/>
        </w:rPr>
        <w:lastRenderedPageBreak/>
        <w:t>Graph</w:t>
      </w:r>
      <w:proofErr w:type="spellEnd"/>
      <w:r w:rsidRPr="00975C4A">
        <w:rPr>
          <w:b/>
          <w:bCs/>
          <w:i w:val="0"/>
          <w:iCs w:val="0"/>
          <w:color w:val="auto"/>
          <w:sz w:val="20"/>
          <w:szCs w:val="20"/>
        </w:rPr>
        <w:t xml:space="preserve">  </w:t>
      </w:r>
      <w:r w:rsidRPr="00975C4A">
        <w:rPr>
          <w:b/>
          <w:bCs/>
          <w:i w:val="0"/>
          <w:iCs w:val="0"/>
          <w:color w:val="auto"/>
          <w:sz w:val="20"/>
          <w:szCs w:val="20"/>
        </w:rPr>
        <w:fldChar w:fldCharType="begin"/>
      </w:r>
      <w:r w:rsidRPr="00975C4A">
        <w:rPr>
          <w:b/>
          <w:bCs/>
          <w:i w:val="0"/>
          <w:iCs w:val="0"/>
          <w:color w:val="auto"/>
          <w:sz w:val="20"/>
          <w:szCs w:val="20"/>
        </w:rPr>
        <w:instrText xml:space="preserve"> SEQ Graph_ \* ARABIC </w:instrText>
      </w:r>
      <w:r w:rsidRPr="00975C4A">
        <w:rPr>
          <w:b/>
          <w:bCs/>
          <w:i w:val="0"/>
          <w:iCs w:val="0"/>
          <w:color w:val="auto"/>
          <w:sz w:val="20"/>
          <w:szCs w:val="20"/>
        </w:rPr>
        <w:fldChar w:fldCharType="separate"/>
      </w:r>
      <w:r w:rsidR="00FE761C">
        <w:rPr>
          <w:b/>
          <w:bCs/>
          <w:i w:val="0"/>
          <w:iCs w:val="0"/>
          <w:noProof/>
          <w:color w:val="auto"/>
          <w:sz w:val="20"/>
          <w:szCs w:val="20"/>
        </w:rPr>
        <w:t>25</w:t>
      </w:r>
      <w:r w:rsidRPr="00975C4A">
        <w:rPr>
          <w:b/>
          <w:bCs/>
          <w:i w:val="0"/>
          <w:iCs w:val="0"/>
          <w:color w:val="auto"/>
          <w:sz w:val="20"/>
          <w:szCs w:val="20"/>
        </w:rPr>
        <w:fldChar w:fldCharType="end"/>
      </w:r>
      <w:r w:rsidRPr="00975C4A">
        <w:rPr>
          <w:b/>
          <w:bCs/>
          <w:i w:val="0"/>
          <w:iCs w:val="0"/>
          <w:color w:val="auto"/>
          <w:sz w:val="20"/>
          <w:szCs w:val="20"/>
        </w:rPr>
        <w:t xml:space="preserve"> </w:t>
      </w:r>
      <w:proofErr w:type="spellStart"/>
      <w:r w:rsidRPr="00975C4A">
        <w:rPr>
          <w:b/>
          <w:bCs/>
          <w:i w:val="0"/>
          <w:iCs w:val="0"/>
          <w:color w:val="auto"/>
          <w:sz w:val="20"/>
          <w:szCs w:val="20"/>
        </w:rPr>
        <w:t>Sales</w:t>
      </w:r>
      <w:proofErr w:type="spellEnd"/>
      <w:r w:rsidRPr="00975C4A">
        <w:rPr>
          <w:b/>
          <w:bCs/>
          <w:i w:val="0"/>
          <w:iCs w:val="0"/>
          <w:color w:val="auto"/>
          <w:sz w:val="20"/>
          <w:szCs w:val="20"/>
        </w:rPr>
        <w:t xml:space="preserve"> of new-to-</w:t>
      </w:r>
      <w:proofErr w:type="spellStart"/>
      <w:r w:rsidRPr="00975C4A">
        <w:rPr>
          <w:b/>
          <w:bCs/>
          <w:i w:val="0"/>
          <w:iCs w:val="0"/>
          <w:color w:val="auto"/>
          <w:sz w:val="20"/>
          <w:szCs w:val="20"/>
        </w:rPr>
        <w:t>market</w:t>
      </w:r>
      <w:proofErr w:type="spellEnd"/>
      <w:r w:rsidRPr="00975C4A">
        <w:rPr>
          <w:b/>
          <w:bCs/>
          <w:i w:val="0"/>
          <w:iCs w:val="0"/>
          <w:color w:val="auto"/>
          <w:sz w:val="20"/>
          <w:szCs w:val="20"/>
        </w:rPr>
        <w:t xml:space="preserve"> and new-to-</w:t>
      </w:r>
      <w:proofErr w:type="spellStart"/>
      <w:r w:rsidRPr="00975C4A">
        <w:rPr>
          <w:b/>
          <w:bCs/>
          <w:i w:val="0"/>
          <w:iCs w:val="0"/>
          <w:color w:val="auto"/>
          <w:sz w:val="20"/>
          <w:szCs w:val="20"/>
        </w:rPr>
        <w:t>firm</w:t>
      </w:r>
      <w:proofErr w:type="spellEnd"/>
      <w:r w:rsidRPr="00975C4A">
        <w:rPr>
          <w:b/>
          <w:bCs/>
          <w:i w:val="0"/>
          <w:iCs w:val="0"/>
          <w:color w:val="auto"/>
          <w:sz w:val="20"/>
          <w:szCs w:val="20"/>
        </w:rPr>
        <w:t xml:space="preserve"> </w:t>
      </w:r>
      <w:proofErr w:type="spellStart"/>
      <w:r w:rsidRPr="00975C4A">
        <w:rPr>
          <w:b/>
          <w:bCs/>
          <w:i w:val="0"/>
          <w:iCs w:val="0"/>
          <w:color w:val="auto"/>
          <w:sz w:val="20"/>
          <w:szCs w:val="20"/>
        </w:rPr>
        <w:t>innovations</w:t>
      </w:r>
      <w:proofErr w:type="spellEnd"/>
      <w:r w:rsidRPr="00975C4A">
        <w:rPr>
          <w:b/>
          <w:bCs/>
          <w:i w:val="0"/>
          <w:iCs w:val="0"/>
          <w:color w:val="auto"/>
          <w:sz w:val="20"/>
          <w:szCs w:val="20"/>
        </w:rPr>
        <w:t xml:space="preserve"> (%)</w:t>
      </w:r>
      <w:bookmarkEnd w:id="54"/>
    </w:p>
    <w:p w14:paraId="65E03E01" w14:textId="27CA7899" w:rsidR="00D602AA" w:rsidRDefault="00D602AA" w:rsidP="00DE5B93">
      <w:pPr>
        <w:spacing w:after="0"/>
        <w:rPr>
          <w:i/>
          <w:iCs/>
          <w:sz w:val="20"/>
          <w:szCs w:val="20"/>
        </w:rPr>
      </w:pPr>
      <w:r>
        <w:rPr>
          <w:noProof/>
          <w14:ligatures w14:val="standardContextual"/>
        </w:rPr>
        <w:drawing>
          <wp:inline distT="0" distB="0" distL="0" distR="0" wp14:anchorId="1D813FCE" wp14:editId="404050C4">
            <wp:extent cx="5759450" cy="2880000"/>
            <wp:effectExtent l="0" t="0" r="12700" b="15875"/>
            <wp:docPr id="30537552" name="Graf 1">
              <a:extLst xmlns:a="http://schemas.openxmlformats.org/drawingml/2006/main">
                <a:ext uri="{FF2B5EF4-FFF2-40B4-BE49-F238E27FC236}">
                  <a16:creationId xmlns:a16="http://schemas.microsoft.com/office/drawing/2014/main" id="{A5D24B82-A18B-4ECE-A6C8-72FABC9D9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787E77" w14:textId="3430963B" w:rsidR="00D602AA" w:rsidRDefault="00DE5B93" w:rsidP="00F9561E">
      <w:pPr>
        <w:spacing w:after="0"/>
        <w:jc w:val="right"/>
        <w:rPr>
          <w:i/>
          <w:iCs/>
          <w:sz w:val="20"/>
          <w:szCs w:val="20"/>
        </w:rPr>
      </w:pPr>
      <w:proofErr w:type="spellStart"/>
      <w:r>
        <w:rPr>
          <w:i/>
          <w:iCs/>
          <w:sz w:val="20"/>
          <w:szCs w:val="20"/>
        </w:rPr>
        <w:t>Source</w:t>
      </w:r>
      <w:proofErr w:type="spellEnd"/>
      <w:r>
        <w:rPr>
          <w:i/>
          <w:iCs/>
          <w:sz w:val="20"/>
          <w:szCs w:val="20"/>
        </w:rPr>
        <w:t>: EIS 2024</w:t>
      </w:r>
    </w:p>
    <w:p w14:paraId="6DDD39B1" w14:textId="66903A97" w:rsidR="00DE5B93" w:rsidRDefault="00DE5B93" w:rsidP="00F9561E">
      <w:pPr>
        <w:jc w:val="right"/>
        <w:rPr>
          <w:i/>
          <w:iCs/>
          <w:sz w:val="20"/>
          <w:szCs w:val="20"/>
        </w:rPr>
      </w:pPr>
      <w:r>
        <w:rPr>
          <w:i/>
          <w:iCs/>
          <w:sz w:val="20"/>
          <w:szCs w:val="20"/>
        </w:rPr>
        <w:t xml:space="preserve">Note: </w:t>
      </w:r>
      <w:r w:rsidRPr="00DE5B93">
        <w:rPr>
          <w:i/>
          <w:iCs/>
          <w:sz w:val="20"/>
          <w:szCs w:val="20"/>
        </w:rPr>
        <w:t>ME (2022), BA, MK, RS (N/A)</w:t>
      </w:r>
    </w:p>
    <w:p w14:paraId="76A00B17" w14:textId="77777777" w:rsidR="00C10C47" w:rsidRDefault="00C10C47" w:rsidP="00222D32">
      <w:pPr>
        <w:rPr>
          <w:i/>
          <w:iCs/>
          <w:sz w:val="20"/>
          <w:szCs w:val="20"/>
        </w:rPr>
      </w:pPr>
    </w:p>
    <w:p w14:paraId="62704574" w14:textId="1C0CE8FC" w:rsidR="00C10C47" w:rsidRPr="00C86157" w:rsidRDefault="00C86157" w:rsidP="00C86157">
      <w:pPr>
        <w:jc w:val="both"/>
        <w:rPr>
          <w:lang w:val="en-GB"/>
        </w:rPr>
      </w:pPr>
      <w:r w:rsidRPr="00C86157">
        <w:rPr>
          <w:lang w:val="en-GB"/>
        </w:rPr>
        <w:t xml:space="preserve">Finally, </w:t>
      </w:r>
      <w:r w:rsidR="00AA1E31">
        <w:rPr>
          <w:lang w:val="en-GB"/>
        </w:rPr>
        <w:t>we will</w:t>
      </w:r>
      <w:r w:rsidRPr="00C86157">
        <w:rPr>
          <w:lang w:val="en-GB"/>
        </w:rPr>
        <w:t xml:space="preserve"> focus on the ability of countries to export knowledge-intensive services. This indicator provides an overview of the share of such services in total exports. The comparison shows that the highest shares in EU countries are held by Ireland (93.19%), Luxembourg (84.27%), and Cyprus (83.19%). Among the countries in the Danube region, Hungary leads with 56.51%, followed by Bulgaria (54.31%) and Serbia (52.03%). The lowest shares of these services in exports are found in Bosnia and Herzegovina (18.47%), Montenegro (23.05%), and Croatia (23.1%).</w:t>
      </w:r>
    </w:p>
    <w:p w14:paraId="5552CB0E" w14:textId="59DAF4DB" w:rsidR="00C10C47" w:rsidRPr="00C10C47" w:rsidRDefault="00C10C47" w:rsidP="00A457DB">
      <w:pPr>
        <w:pStyle w:val="Popis"/>
        <w:keepNext/>
        <w:spacing w:after="120"/>
        <w:rPr>
          <w:b/>
          <w:bCs/>
          <w:i w:val="0"/>
          <w:iCs w:val="0"/>
          <w:color w:val="auto"/>
          <w:sz w:val="20"/>
          <w:szCs w:val="20"/>
        </w:rPr>
      </w:pPr>
      <w:bookmarkStart w:id="55" w:name="_Toc202166656"/>
      <w:proofErr w:type="spellStart"/>
      <w:r w:rsidRPr="00C10C47">
        <w:rPr>
          <w:b/>
          <w:bCs/>
          <w:i w:val="0"/>
          <w:iCs w:val="0"/>
          <w:color w:val="auto"/>
          <w:sz w:val="20"/>
          <w:szCs w:val="20"/>
        </w:rPr>
        <w:t>Graph</w:t>
      </w:r>
      <w:proofErr w:type="spellEnd"/>
      <w:r w:rsidRPr="00C10C47">
        <w:rPr>
          <w:b/>
          <w:bCs/>
          <w:i w:val="0"/>
          <w:iCs w:val="0"/>
          <w:color w:val="auto"/>
          <w:sz w:val="20"/>
          <w:szCs w:val="20"/>
        </w:rPr>
        <w:t xml:space="preserve">  </w:t>
      </w:r>
      <w:r w:rsidRPr="00C10C47">
        <w:rPr>
          <w:b/>
          <w:bCs/>
          <w:i w:val="0"/>
          <w:iCs w:val="0"/>
          <w:color w:val="auto"/>
          <w:sz w:val="20"/>
          <w:szCs w:val="20"/>
        </w:rPr>
        <w:fldChar w:fldCharType="begin"/>
      </w:r>
      <w:r w:rsidRPr="00C10C47">
        <w:rPr>
          <w:b/>
          <w:bCs/>
          <w:i w:val="0"/>
          <w:iCs w:val="0"/>
          <w:color w:val="auto"/>
          <w:sz w:val="20"/>
          <w:szCs w:val="20"/>
        </w:rPr>
        <w:instrText xml:space="preserve"> SEQ Graph_ \* ARABIC </w:instrText>
      </w:r>
      <w:r w:rsidRPr="00C10C47">
        <w:rPr>
          <w:b/>
          <w:bCs/>
          <w:i w:val="0"/>
          <w:iCs w:val="0"/>
          <w:color w:val="auto"/>
          <w:sz w:val="20"/>
          <w:szCs w:val="20"/>
        </w:rPr>
        <w:fldChar w:fldCharType="separate"/>
      </w:r>
      <w:r w:rsidR="00FE761C">
        <w:rPr>
          <w:b/>
          <w:bCs/>
          <w:i w:val="0"/>
          <w:iCs w:val="0"/>
          <w:noProof/>
          <w:color w:val="auto"/>
          <w:sz w:val="20"/>
          <w:szCs w:val="20"/>
        </w:rPr>
        <w:t>26</w:t>
      </w:r>
      <w:r w:rsidRPr="00C10C47">
        <w:rPr>
          <w:b/>
          <w:bCs/>
          <w:i w:val="0"/>
          <w:iCs w:val="0"/>
          <w:color w:val="auto"/>
          <w:sz w:val="20"/>
          <w:szCs w:val="20"/>
        </w:rPr>
        <w:fldChar w:fldCharType="end"/>
      </w:r>
      <w:r w:rsidRPr="00C10C47">
        <w:rPr>
          <w:b/>
          <w:bCs/>
          <w:i w:val="0"/>
          <w:iCs w:val="0"/>
          <w:color w:val="auto"/>
          <w:sz w:val="20"/>
          <w:szCs w:val="20"/>
        </w:rPr>
        <w:t xml:space="preserve"> </w:t>
      </w:r>
      <w:proofErr w:type="spellStart"/>
      <w:r w:rsidRPr="00C10C47">
        <w:rPr>
          <w:b/>
          <w:bCs/>
          <w:i w:val="0"/>
          <w:iCs w:val="0"/>
          <w:color w:val="auto"/>
          <w:sz w:val="20"/>
          <w:szCs w:val="20"/>
        </w:rPr>
        <w:t>Knowledge-intensive</w:t>
      </w:r>
      <w:proofErr w:type="spellEnd"/>
      <w:r w:rsidRPr="00C10C47">
        <w:rPr>
          <w:b/>
          <w:bCs/>
          <w:i w:val="0"/>
          <w:iCs w:val="0"/>
          <w:color w:val="auto"/>
          <w:sz w:val="20"/>
          <w:szCs w:val="20"/>
        </w:rPr>
        <w:t xml:space="preserve"> </w:t>
      </w:r>
      <w:proofErr w:type="spellStart"/>
      <w:r w:rsidRPr="00C10C47">
        <w:rPr>
          <w:b/>
          <w:bCs/>
          <w:i w:val="0"/>
          <w:iCs w:val="0"/>
          <w:color w:val="auto"/>
          <w:sz w:val="20"/>
          <w:szCs w:val="20"/>
        </w:rPr>
        <w:t>services</w:t>
      </w:r>
      <w:proofErr w:type="spellEnd"/>
      <w:r w:rsidRPr="00C10C47">
        <w:rPr>
          <w:b/>
          <w:bCs/>
          <w:i w:val="0"/>
          <w:iCs w:val="0"/>
          <w:color w:val="auto"/>
          <w:sz w:val="20"/>
          <w:szCs w:val="20"/>
        </w:rPr>
        <w:t xml:space="preserve"> </w:t>
      </w:r>
      <w:proofErr w:type="spellStart"/>
      <w:r w:rsidRPr="00C10C47">
        <w:rPr>
          <w:b/>
          <w:bCs/>
          <w:i w:val="0"/>
          <w:iCs w:val="0"/>
          <w:color w:val="auto"/>
          <w:sz w:val="20"/>
          <w:szCs w:val="20"/>
        </w:rPr>
        <w:t>exports</w:t>
      </w:r>
      <w:proofErr w:type="spellEnd"/>
      <w:r w:rsidRPr="00C10C47">
        <w:rPr>
          <w:b/>
          <w:bCs/>
          <w:i w:val="0"/>
          <w:iCs w:val="0"/>
          <w:color w:val="auto"/>
          <w:sz w:val="20"/>
          <w:szCs w:val="20"/>
        </w:rPr>
        <w:t xml:space="preserve"> (% </w:t>
      </w:r>
      <w:proofErr w:type="spellStart"/>
      <w:r w:rsidRPr="00C10C47">
        <w:rPr>
          <w:b/>
          <w:bCs/>
          <w:i w:val="0"/>
          <w:iCs w:val="0"/>
          <w:color w:val="auto"/>
          <w:sz w:val="20"/>
          <w:szCs w:val="20"/>
        </w:rPr>
        <w:t>share</w:t>
      </w:r>
      <w:proofErr w:type="spellEnd"/>
      <w:r w:rsidRPr="00C10C47">
        <w:rPr>
          <w:b/>
          <w:bCs/>
          <w:i w:val="0"/>
          <w:iCs w:val="0"/>
          <w:color w:val="auto"/>
          <w:sz w:val="20"/>
          <w:szCs w:val="20"/>
        </w:rPr>
        <w:t>)</w:t>
      </w:r>
      <w:bookmarkEnd w:id="55"/>
    </w:p>
    <w:p w14:paraId="1AED0083" w14:textId="53EE677D" w:rsidR="00C10C47" w:rsidRDefault="00C10C47" w:rsidP="00A457DB">
      <w:pPr>
        <w:spacing w:after="0"/>
        <w:rPr>
          <w:i/>
          <w:iCs/>
          <w:sz w:val="20"/>
          <w:szCs w:val="20"/>
        </w:rPr>
      </w:pPr>
      <w:r>
        <w:rPr>
          <w:noProof/>
          <w14:ligatures w14:val="standardContextual"/>
        </w:rPr>
        <w:drawing>
          <wp:inline distT="0" distB="0" distL="0" distR="0" wp14:anchorId="7C05063D" wp14:editId="02BE4901">
            <wp:extent cx="5759450" cy="2880000"/>
            <wp:effectExtent l="0" t="0" r="12700" b="15875"/>
            <wp:docPr id="1627396370" name="Graf 1">
              <a:extLst xmlns:a="http://schemas.openxmlformats.org/drawingml/2006/main">
                <a:ext uri="{FF2B5EF4-FFF2-40B4-BE49-F238E27FC236}">
                  <a16:creationId xmlns:a16="http://schemas.microsoft.com/office/drawing/2014/main" id="{693BF841-9995-4A98-B905-8FEBF3091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D8FE48A" w14:textId="77777777" w:rsidR="00A457DB" w:rsidRDefault="00A457DB" w:rsidP="00F9561E">
      <w:pPr>
        <w:spacing w:after="0"/>
        <w:jc w:val="right"/>
        <w:rPr>
          <w:i/>
          <w:iCs/>
          <w:sz w:val="20"/>
          <w:szCs w:val="20"/>
        </w:rPr>
      </w:pPr>
      <w:proofErr w:type="spellStart"/>
      <w:r>
        <w:rPr>
          <w:i/>
          <w:iCs/>
          <w:sz w:val="20"/>
          <w:szCs w:val="20"/>
        </w:rPr>
        <w:t>Source</w:t>
      </w:r>
      <w:proofErr w:type="spellEnd"/>
      <w:r>
        <w:rPr>
          <w:i/>
          <w:iCs/>
          <w:sz w:val="20"/>
          <w:szCs w:val="20"/>
        </w:rPr>
        <w:t>: EIS 2024</w:t>
      </w:r>
    </w:p>
    <w:p w14:paraId="61C5E4B9" w14:textId="77777777" w:rsidR="00C10C47" w:rsidRDefault="00C10C47" w:rsidP="00222D32">
      <w:pPr>
        <w:rPr>
          <w:i/>
          <w:iCs/>
          <w:sz w:val="20"/>
          <w:szCs w:val="20"/>
        </w:rPr>
      </w:pPr>
    </w:p>
    <w:p w14:paraId="2FAF5097" w14:textId="77777777" w:rsidR="0045066F" w:rsidRPr="00270C68" w:rsidRDefault="0045066F" w:rsidP="00222D32">
      <w:pPr>
        <w:rPr>
          <w:b/>
          <w:bCs/>
          <w:i/>
          <w:iCs/>
          <w:sz w:val="20"/>
          <w:szCs w:val="20"/>
        </w:rPr>
      </w:pPr>
    </w:p>
    <w:p w14:paraId="3C8408F4" w14:textId="4269C6DF" w:rsidR="00C77173" w:rsidRPr="00270C68" w:rsidRDefault="00C77173" w:rsidP="00C77173">
      <w:pPr>
        <w:pStyle w:val="Nadpis1"/>
        <w:numPr>
          <w:ilvl w:val="0"/>
          <w:numId w:val="1"/>
        </w:numPr>
        <w:spacing w:after="120"/>
        <w:jc w:val="both"/>
        <w:rPr>
          <w:rStyle w:val="eop"/>
          <w:rFonts w:asciiTheme="minorHAnsi" w:hAnsiTheme="minorHAnsi" w:cs="Calibri Light"/>
          <w:b/>
          <w:bCs/>
          <w:color w:val="2F5496"/>
          <w:shd w:val="clear" w:color="auto" w:fill="FFFFFF"/>
          <w:lang w:val="en-GB"/>
        </w:rPr>
      </w:pPr>
      <w:bookmarkStart w:id="56" w:name="_Toc107413813"/>
      <w:bookmarkStart w:id="57" w:name="_Toc202166688"/>
      <w:r w:rsidRPr="00270C68">
        <w:rPr>
          <w:rStyle w:val="normaltextrun"/>
          <w:rFonts w:asciiTheme="minorHAnsi" w:hAnsiTheme="minorHAnsi" w:cs="Calibri Light"/>
          <w:b/>
          <w:bCs/>
          <w:color w:val="2F5496"/>
          <w:shd w:val="clear" w:color="auto" w:fill="FFFFFF"/>
          <w:lang w:val="en-GB"/>
        </w:rPr>
        <w:lastRenderedPageBreak/>
        <w:t>Evaluation of current best practice and</w:t>
      </w:r>
      <w:r w:rsidRPr="00270C68">
        <w:rPr>
          <w:rStyle w:val="normaltextrun"/>
          <w:rFonts w:ascii="Arial" w:hAnsi="Arial" w:cs="Arial"/>
          <w:b/>
          <w:bCs/>
          <w:color w:val="2F5496"/>
          <w:shd w:val="clear" w:color="auto" w:fill="FFFFFF"/>
          <w:lang w:val="en-GB"/>
        </w:rPr>
        <w:t> </w:t>
      </w:r>
      <w:r w:rsidRPr="00270C68">
        <w:rPr>
          <w:rStyle w:val="normaltextrun"/>
          <w:rFonts w:asciiTheme="minorHAnsi" w:hAnsiTheme="minorHAnsi" w:cs="Calibri Light"/>
          <w:b/>
          <w:bCs/>
          <w:color w:val="2F5496"/>
          <w:shd w:val="clear" w:color="auto" w:fill="FFFFFF"/>
          <w:lang w:val="en-GB"/>
        </w:rPr>
        <w:t>SWOT analysis of PA7</w:t>
      </w:r>
      <w:bookmarkEnd w:id="56"/>
      <w:bookmarkEnd w:id="57"/>
      <w:r w:rsidRPr="00270C68">
        <w:rPr>
          <w:rStyle w:val="eop"/>
          <w:rFonts w:asciiTheme="minorHAnsi" w:hAnsiTheme="minorHAnsi" w:cs="Calibri Light"/>
          <w:b/>
          <w:bCs/>
          <w:color w:val="2F5496"/>
          <w:shd w:val="clear" w:color="auto" w:fill="FFFFFF"/>
          <w:lang w:val="en-GB"/>
        </w:rPr>
        <w:t> </w:t>
      </w:r>
    </w:p>
    <w:p w14:paraId="1185690B" w14:textId="77777777" w:rsidR="00AA1E31" w:rsidRPr="00AA1E31" w:rsidRDefault="00AA1E31" w:rsidP="00AA1E31">
      <w:pPr>
        <w:jc w:val="both"/>
        <w:rPr>
          <w:lang w:val="en-GB" w:eastAsia="sk-SK"/>
        </w:rPr>
      </w:pPr>
      <w:r w:rsidRPr="00AA1E31">
        <w:rPr>
          <w:lang w:val="en-GB" w:eastAsia="sk-SK"/>
        </w:rPr>
        <w:t>In terms of research and innovation capacities, the countries of the Danube region remain significantly divided on multiple levels. The primary division is between EU member states and non-member states. There is a clear dividing line between these groups across almost all indicators, with Serbia being the only non-member state performing at the lower end of the EU member states.</w:t>
      </w:r>
    </w:p>
    <w:p w14:paraId="461B751B" w14:textId="77777777" w:rsidR="00AA1E31" w:rsidRPr="00AA1E31" w:rsidRDefault="00AA1E31" w:rsidP="00AA1E31">
      <w:pPr>
        <w:jc w:val="both"/>
        <w:rPr>
          <w:lang w:val="en-GB" w:eastAsia="sk-SK"/>
        </w:rPr>
      </w:pPr>
      <w:r w:rsidRPr="00AA1E31">
        <w:rPr>
          <w:lang w:val="en-GB" w:eastAsia="sk-SK"/>
        </w:rPr>
        <w:t>Another clear division is between the so-called "old" and "new" EU member states. Although most "new" member states have been in the EU for over 21 years, there is still a noticeable gap between Germany and Austria on one side and the other countries on the other. Germany and Austria dominate nearly all comparisons and are the only countries in the region with research and innovation investments exceeding 3% of GDP.</w:t>
      </w:r>
    </w:p>
    <w:p w14:paraId="266869CC" w14:textId="77777777" w:rsidR="00AA1E31" w:rsidRPr="00AA1E31" w:rsidRDefault="00AA1E31" w:rsidP="00AA1E31">
      <w:pPr>
        <w:jc w:val="both"/>
        <w:rPr>
          <w:lang w:val="en-GB" w:eastAsia="sk-SK"/>
        </w:rPr>
      </w:pPr>
      <w:r w:rsidRPr="00AA1E31">
        <w:rPr>
          <w:lang w:val="en-GB" w:eastAsia="sk-SK"/>
        </w:rPr>
        <w:t>Among the other countries, Slovenia and the Czech Republic are making significant progress, followed by Hungary. The third group includes Bulgaria, Croatia, Romania, Slovakia, and Serbia. The last group consists of the non-EU countries—Bosnia and Herzegovina, Moldova, Montenegro, and Ukraine—which lag significantly behind in almost all indicators. It's also important to note that research and innovation performance is affected by the ongoing military aggression by Russia.</w:t>
      </w:r>
    </w:p>
    <w:p w14:paraId="0EAF7A8C" w14:textId="77777777" w:rsidR="00AA1E31" w:rsidRPr="00AA1E31" w:rsidRDefault="00AA1E31" w:rsidP="00AA1E31">
      <w:pPr>
        <w:jc w:val="both"/>
        <w:rPr>
          <w:lang w:val="en-GB" w:eastAsia="sk-SK"/>
        </w:rPr>
      </w:pPr>
      <w:r w:rsidRPr="00AA1E31">
        <w:rPr>
          <w:lang w:val="en-GB" w:eastAsia="sk-SK"/>
        </w:rPr>
        <w:t>This division is also reflected in the performance of countries in the European Innovation Scoreboard 2024. The Danube region is highly heterogeneous, with countries at different levels of research and innovation performance and overall development. Additionally, Ukraine has been in a direct military conflict for over three years. The difference is also evident in whether countries have access to the common market and public investments from European sources, such as structural funds, the Recovery and Resilience Facility, and Horizon Europe.</w:t>
      </w:r>
    </w:p>
    <w:p w14:paraId="7CFD129D" w14:textId="77777777" w:rsidR="00AA1E31" w:rsidRPr="00AA1E31" w:rsidRDefault="00AA1E31" w:rsidP="00AA1E31">
      <w:pPr>
        <w:jc w:val="both"/>
        <w:rPr>
          <w:lang w:val="en-GB" w:eastAsia="sk-SK"/>
        </w:rPr>
      </w:pPr>
      <w:r w:rsidRPr="00AA1E31">
        <w:rPr>
          <w:lang w:val="en-GB" w:eastAsia="sk-SK"/>
        </w:rPr>
        <w:t>As mentioned earlier, Germany and Austria are the only countries meeting the EU targets with research and innovation investments above 3% of GDP. Slovenia invests more than 2%, while the Czech Republic, Croatia, Hungary, and Slovakia invest between 1-2%. All other countries invest less than 1%. A similar situation exists with private sector investments, where companies in Germany and Austria invest more than 1%, those in Slovenia, the Czech Republic, Hungary, and Croatia invest between 0.5-1%, and all other countries invest less than 0.5% of GDP.</w:t>
      </w:r>
    </w:p>
    <w:p w14:paraId="13C0155D" w14:textId="77777777" w:rsidR="00AA1E31" w:rsidRPr="00AA1E31" w:rsidRDefault="00AA1E31" w:rsidP="00AA1E31">
      <w:pPr>
        <w:jc w:val="both"/>
        <w:rPr>
          <w:lang w:val="en-GB" w:eastAsia="sk-SK"/>
        </w:rPr>
      </w:pPr>
      <w:r w:rsidRPr="00AA1E31">
        <w:rPr>
          <w:lang w:val="en-GB" w:eastAsia="sk-SK"/>
        </w:rPr>
        <w:t>Germany, the Czech Republic, Austria, and Slovenia have the highest number of PhD graduates. These countries, along with Hungary, also have the most researchers per million inhabitants (in FTE). While Austria has 6,705 researchers per million inhabitants, Bosnia and Herzegovina have only 535. Conversely, the Czech Republic, Hungary, Germany, Austria, and Slovenia have the lowest proportion of female researchers.</w:t>
      </w:r>
    </w:p>
    <w:p w14:paraId="4B003BDE" w14:textId="77777777" w:rsidR="00AA1E31" w:rsidRPr="00AA1E31" w:rsidRDefault="00AA1E31" w:rsidP="00AA1E31">
      <w:pPr>
        <w:jc w:val="both"/>
        <w:rPr>
          <w:lang w:val="en-GB" w:eastAsia="sk-SK"/>
        </w:rPr>
      </w:pPr>
      <w:r w:rsidRPr="00AA1E31">
        <w:rPr>
          <w:lang w:val="en-GB" w:eastAsia="sk-SK"/>
        </w:rPr>
        <w:t>The most innovative companies are also found in Germany, Austria, and Slovenia. Germany, Austria, and the Czech Republic have the highest venture capital investments. Slovenia, Austria, Germany, and the Czech Republic are the most successful countries in Horizon Europe.</w:t>
      </w:r>
    </w:p>
    <w:p w14:paraId="63059E7F" w14:textId="77777777" w:rsidR="00AA1E31" w:rsidRPr="00AA1E31" w:rsidRDefault="00AA1E31" w:rsidP="00AA1E31">
      <w:pPr>
        <w:jc w:val="both"/>
        <w:rPr>
          <w:lang w:val="en-GB" w:eastAsia="sk-SK"/>
        </w:rPr>
      </w:pPr>
      <w:r w:rsidRPr="00AA1E31">
        <w:rPr>
          <w:lang w:val="en-GB" w:eastAsia="sk-SK"/>
        </w:rPr>
        <w:t>Austria, Germany, and Slovenia have the highest share of scientific publications among the top 10% most cited publications. These three countries also have the most PCT patent applications per billion GDP.</w:t>
      </w:r>
    </w:p>
    <w:p w14:paraId="699E48B9" w14:textId="77777777" w:rsidR="00AA1E31" w:rsidRPr="00AA1E31" w:rsidRDefault="00AA1E31" w:rsidP="00AA1E31">
      <w:pPr>
        <w:jc w:val="both"/>
        <w:rPr>
          <w:lang w:val="en-GB" w:eastAsia="sk-SK"/>
        </w:rPr>
      </w:pPr>
      <w:r w:rsidRPr="00AA1E31">
        <w:rPr>
          <w:lang w:val="en-GB" w:eastAsia="sk-SK"/>
        </w:rPr>
        <w:lastRenderedPageBreak/>
        <w:t>Based on this analysis, we have prepared a SWOT analysis. Many aspects are repeated from the SWOT analysis in the previous edition.</w:t>
      </w:r>
    </w:p>
    <w:p w14:paraId="557A468F" w14:textId="77777777" w:rsidR="00C77173" w:rsidRPr="00FD1E82" w:rsidRDefault="00C77173" w:rsidP="00C77173">
      <w:pPr>
        <w:pStyle w:val="Popis"/>
        <w:keepNext/>
        <w:rPr>
          <w:lang w:val="en-GB"/>
        </w:rPr>
      </w:pPr>
    </w:p>
    <w:p w14:paraId="4EF1B676" w14:textId="0C62AD08" w:rsidR="00C77173" w:rsidRPr="00FD1E82" w:rsidRDefault="00C77173" w:rsidP="00C77173">
      <w:pPr>
        <w:pStyle w:val="Popis"/>
        <w:keepNext/>
        <w:spacing w:after="0"/>
        <w:rPr>
          <w:b/>
          <w:bCs/>
          <w:i w:val="0"/>
          <w:iCs w:val="0"/>
          <w:color w:val="auto"/>
          <w:sz w:val="22"/>
          <w:szCs w:val="22"/>
          <w:lang w:val="en-GB"/>
        </w:rPr>
      </w:pPr>
    </w:p>
    <w:p w14:paraId="00AB894C" w14:textId="37F0E7D8" w:rsidR="00FA21C8" w:rsidRPr="00981247" w:rsidRDefault="00FA21C8" w:rsidP="00FA21C8">
      <w:pPr>
        <w:pStyle w:val="Popis"/>
        <w:keepNext/>
        <w:spacing w:after="0"/>
        <w:rPr>
          <w:b/>
          <w:bCs/>
          <w:i w:val="0"/>
          <w:iCs w:val="0"/>
          <w:color w:val="auto"/>
          <w:sz w:val="20"/>
          <w:szCs w:val="20"/>
        </w:rPr>
      </w:pPr>
      <w:bookmarkStart w:id="58" w:name="_Toc202166665"/>
      <w:r w:rsidRPr="00981247">
        <w:rPr>
          <w:b/>
          <w:bCs/>
          <w:i w:val="0"/>
          <w:iCs w:val="0"/>
          <w:color w:val="auto"/>
          <w:sz w:val="20"/>
          <w:szCs w:val="20"/>
        </w:rPr>
        <w:t xml:space="preserve">Table </w:t>
      </w:r>
      <w:r w:rsidRPr="00981247">
        <w:rPr>
          <w:b/>
          <w:bCs/>
          <w:i w:val="0"/>
          <w:iCs w:val="0"/>
          <w:color w:val="auto"/>
          <w:sz w:val="20"/>
          <w:szCs w:val="20"/>
        </w:rPr>
        <w:fldChar w:fldCharType="begin"/>
      </w:r>
      <w:r w:rsidRPr="00981247">
        <w:rPr>
          <w:b/>
          <w:bCs/>
          <w:i w:val="0"/>
          <w:iCs w:val="0"/>
          <w:color w:val="auto"/>
          <w:sz w:val="20"/>
          <w:szCs w:val="20"/>
        </w:rPr>
        <w:instrText xml:space="preserve"> SEQ Table \* ARABIC </w:instrText>
      </w:r>
      <w:r w:rsidRPr="00981247">
        <w:rPr>
          <w:b/>
          <w:bCs/>
          <w:i w:val="0"/>
          <w:iCs w:val="0"/>
          <w:color w:val="auto"/>
          <w:sz w:val="20"/>
          <w:szCs w:val="20"/>
        </w:rPr>
        <w:fldChar w:fldCharType="separate"/>
      </w:r>
      <w:r w:rsidRPr="00981247">
        <w:rPr>
          <w:b/>
          <w:bCs/>
          <w:i w:val="0"/>
          <w:iCs w:val="0"/>
          <w:color w:val="auto"/>
          <w:sz w:val="20"/>
          <w:szCs w:val="20"/>
        </w:rPr>
        <w:t>9</w:t>
      </w:r>
      <w:r w:rsidRPr="00981247">
        <w:rPr>
          <w:b/>
          <w:bCs/>
          <w:i w:val="0"/>
          <w:iCs w:val="0"/>
          <w:color w:val="auto"/>
          <w:sz w:val="20"/>
          <w:szCs w:val="20"/>
        </w:rPr>
        <w:fldChar w:fldCharType="end"/>
      </w:r>
      <w:r w:rsidRPr="00981247">
        <w:rPr>
          <w:b/>
          <w:bCs/>
          <w:i w:val="0"/>
          <w:iCs w:val="0"/>
          <w:color w:val="auto"/>
          <w:sz w:val="20"/>
          <w:szCs w:val="20"/>
        </w:rPr>
        <w:t xml:space="preserve"> SWOT </w:t>
      </w:r>
      <w:proofErr w:type="spellStart"/>
      <w:r w:rsidRPr="00981247">
        <w:rPr>
          <w:b/>
          <w:bCs/>
          <w:i w:val="0"/>
          <w:iCs w:val="0"/>
          <w:color w:val="auto"/>
          <w:sz w:val="20"/>
          <w:szCs w:val="20"/>
        </w:rPr>
        <w:t>Analysis</w:t>
      </w:r>
      <w:bookmarkEnd w:id="58"/>
      <w:proofErr w:type="spellEnd"/>
    </w:p>
    <w:tbl>
      <w:tblPr>
        <w:tblW w:w="9070" w:type="dxa"/>
        <w:tblCellMar>
          <w:left w:w="70" w:type="dxa"/>
          <w:right w:w="70" w:type="dxa"/>
        </w:tblCellMar>
        <w:tblLook w:val="04A0" w:firstRow="1" w:lastRow="0" w:firstColumn="1" w:lastColumn="0" w:noHBand="0" w:noVBand="1"/>
      </w:tblPr>
      <w:tblGrid>
        <w:gridCol w:w="4535"/>
        <w:gridCol w:w="4535"/>
      </w:tblGrid>
      <w:tr w:rsidR="0095099D" w:rsidRPr="0095099D" w14:paraId="22186A5F" w14:textId="77777777" w:rsidTr="007E098B">
        <w:trPr>
          <w:trHeight w:val="540"/>
        </w:trPr>
        <w:tc>
          <w:tcPr>
            <w:tcW w:w="45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29F1B6E4" w14:textId="77777777" w:rsidR="00C77173" w:rsidRPr="00981247" w:rsidRDefault="00C77173" w:rsidP="005804A3">
            <w:pPr>
              <w:spacing w:after="0" w:line="240" w:lineRule="auto"/>
              <w:jc w:val="center"/>
              <w:rPr>
                <w:rFonts w:eastAsia="Times New Roman" w:cstheme="minorHAnsi"/>
                <w:b/>
                <w:bCs/>
                <w:color w:val="FFFFFF" w:themeColor="background1"/>
                <w:sz w:val="20"/>
                <w:szCs w:val="20"/>
                <w:lang w:val="en-GB" w:eastAsia="sk-SK"/>
              </w:rPr>
            </w:pPr>
            <w:r w:rsidRPr="00981247">
              <w:rPr>
                <w:rFonts w:eastAsia="Times New Roman" w:cstheme="minorHAnsi"/>
                <w:b/>
                <w:bCs/>
                <w:color w:val="FFFFFF" w:themeColor="background1"/>
                <w:sz w:val="20"/>
                <w:szCs w:val="20"/>
                <w:lang w:val="en-GB" w:eastAsia="sk-SK"/>
              </w:rPr>
              <w:t>STRENGHTS</w:t>
            </w:r>
          </w:p>
        </w:tc>
        <w:tc>
          <w:tcPr>
            <w:tcW w:w="4535" w:type="dxa"/>
            <w:tcBorders>
              <w:top w:val="single" w:sz="8" w:space="0" w:color="FFFFFF" w:themeColor="background1"/>
              <w:left w:val="nil"/>
              <w:bottom w:val="single" w:sz="8" w:space="0" w:color="FFFFFF" w:themeColor="background1"/>
              <w:right w:val="single" w:sz="8" w:space="0" w:color="FFFFFF" w:themeColor="background1"/>
            </w:tcBorders>
            <w:shd w:val="clear" w:color="auto" w:fill="002060"/>
            <w:vAlign w:val="center"/>
            <w:hideMark/>
          </w:tcPr>
          <w:p w14:paraId="3902237E" w14:textId="77777777" w:rsidR="00C77173" w:rsidRPr="00981247" w:rsidRDefault="00C77173" w:rsidP="005804A3">
            <w:pPr>
              <w:spacing w:after="0" w:line="240" w:lineRule="auto"/>
              <w:jc w:val="center"/>
              <w:rPr>
                <w:rFonts w:eastAsia="Times New Roman" w:cstheme="minorHAnsi"/>
                <w:b/>
                <w:bCs/>
                <w:color w:val="FFFFFF" w:themeColor="background1"/>
                <w:sz w:val="20"/>
                <w:szCs w:val="20"/>
                <w:lang w:val="en-GB" w:eastAsia="sk-SK"/>
              </w:rPr>
            </w:pPr>
            <w:r w:rsidRPr="00981247">
              <w:rPr>
                <w:rFonts w:eastAsia="Times New Roman" w:cstheme="minorHAnsi"/>
                <w:b/>
                <w:bCs/>
                <w:color w:val="FFFFFF" w:themeColor="background1"/>
                <w:sz w:val="20"/>
                <w:szCs w:val="20"/>
                <w:lang w:val="en-GB" w:eastAsia="sk-SK"/>
              </w:rPr>
              <w:t>WEAKNESSES</w:t>
            </w:r>
          </w:p>
        </w:tc>
      </w:tr>
      <w:tr w:rsidR="0095099D" w:rsidRPr="0095099D" w14:paraId="02CEAA5E" w14:textId="77777777" w:rsidTr="007E098B">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hideMark/>
          </w:tcPr>
          <w:p w14:paraId="29CCFA58" w14:textId="77777777" w:rsidR="00BB22BD" w:rsidRPr="00BB22BD" w:rsidRDefault="00BB22BD" w:rsidP="00BB22BD">
            <w:pPr>
              <w:numPr>
                <w:ilvl w:val="0"/>
                <w:numId w:val="15"/>
              </w:numPr>
              <w:shd w:val="clear" w:color="auto" w:fill="FAFAFA"/>
              <w:spacing w:before="100" w:beforeAutospacing="1" w:after="100" w:afterAutospacing="1" w:line="240" w:lineRule="auto"/>
              <w:rPr>
                <w:lang w:val="en-GB" w:eastAsia="sk-SK"/>
              </w:rPr>
            </w:pPr>
            <w:r w:rsidRPr="00BB22BD">
              <w:rPr>
                <w:lang w:val="en-GB" w:eastAsia="sk-SK"/>
              </w:rPr>
              <w:t>Growing innovation performance in most countries</w:t>
            </w:r>
          </w:p>
          <w:p w14:paraId="37ACDE35" w14:textId="77777777" w:rsidR="00BB22BD" w:rsidRPr="00BB22BD" w:rsidRDefault="00BB22BD" w:rsidP="00BB22BD">
            <w:pPr>
              <w:numPr>
                <w:ilvl w:val="0"/>
                <w:numId w:val="15"/>
              </w:numPr>
              <w:shd w:val="clear" w:color="auto" w:fill="FAFAFA"/>
              <w:spacing w:before="100" w:beforeAutospacing="1" w:after="100" w:afterAutospacing="1" w:line="240" w:lineRule="auto"/>
              <w:rPr>
                <w:lang w:val="en-GB" w:eastAsia="sk-SK"/>
              </w:rPr>
            </w:pPr>
            <w:r w:rsidRPr="00BB22BD">
              <w:rPr>
                <w:lang w:val="en-GB" w:eastAsia="sk-SK"/>
              </w:rPr>
              <w:t>Improving performance, especially in Slovenia and the Czech Republic</w:t>
            </w:r>
          </w:p>
          <w:p w14:paraId="30660571" w14:textId="5C10F202" w:rsidR="00BB22BD" w:rsidRPr="00BB22BD" w:rsidRDefault="00BB22BD" w:rsidP="00BB22BD">
            <w:pPr>
              <w:numPr>
                <w:ilvl w:val="0"/>
                <w:numId w:val="15"/>
              </w:numPr>
              <w:shd w:val="clear" w:color="auto" w:fill="FAFAFA"/>
              <w:spacing w:before="100" w:beforeAutospacing="1" w:after="100" w:afterAutospacing="1" w:line="240" w:lineRule="auto"/>
              <w:rPr>
                <w:lang w:val="en-GB" w:eastAsia="sk-SK"/>
              </w:rPr>
            </w:pPr>
            <w:r w:rsidRPr="00BB22BD">
              <w:rPr>
                <w:lang w:val="en-GB" w:eastAsia="sk-SK"/>
              </w:rPr>
              <w:t>Presence of strong innovation leaders – Austria and Germany in the region</w:t>
            </w:r>
          </w:p>
          <w:p w14:paraId="1DB590EF" w14:textId="4CAB41B8" w:rsidR="00133F40" w:rsidRPr="00133F40" w:rsidRDefault="00133F40" w:rsidP="003C1EF5">
            <w:pPr>
              <w:pStyle w:val="Odsekzoznamu"/>
              <w:spacing w:after="0" w:line="240" w:lineRule="auto"/>
              <w:ind w:left="345" w:right="359"/>
              <w:jc w:val="both"/>
              <w:rPr>
                <w:rFonts w:eastAsia="Times New Roman" w:cstheme="minorHAnsi"/>
                <w:color w:val="EE0000"/>
                <w:sz w:val="20"/>
                <w:szCs w:val="20"/>
                <w:lang w:eastAsia="sk-SK"/>
              </w:rPr>
            </w:pP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3F040561"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The region is highly heterogeneous.</w:t>
            </w:r>
          </w:p>
          <w:p w14:paraId="184F367A"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Significant disparities in research and innovation performance among countries.</w:t>
            </w:r>
          </w:p>
          <w:p w14:paraId="31E9B0CD"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In 11 out of 14 countries, investments in research and innovation are below 2% of GDP.</w:t>
            </w:r>
          </w:p>
          <w:p w14:paraId="6D307113"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Overall participation of the private sector in R&amp;D investments is very low.</w:t>
            </w:r>
          </w:p>
          <w:p w14:paraId="766EE67A"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This results in low patent activity in most countries.</w:t>
            </w:r>
          </w:p>
          <w:p w14:paraId="178CCAD6"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Low collaboration between countries in Horizon Europe.</w:t>
            </w:r>
          </w:p>
          <w:p w14:paraId="0F4E389B" w14:textId="77777777" w:rsidR="00F91164" w:rsidRPr="00F91164" w:rsidRDefault="00F91164" w:rsidP="00F91164">
            <w:pPr>
              <w:pStyle w:val="Odsekzoznamu"/>
              <w:numPr>
                <w:ilvl w:val="0"/>
                <w:numId w:val="11"/>
              </w:numPr>
              <w:spacing w:after="0"/>
              <w:ind w:left="483" w:hanging="425"/>
              <w:jc w:val="both"/>
              <w:rPr>
                <w:lang w:val="en-GB" w:eastAsia="sk-SK"/>
              </w:rPr>
            </w:pPr>
            <w:r w:rsidRPr="00F91164">
              <w:rPr>
                <w:lang w:val="en-GB" w:eastAsia="sk-SK"/>
              </w:rPr>
              <w:t>Low number of researchers.</w:t>
            </w:r>
          </w:p>
          <w:p w14:paraId="313532E2" w14:textId="77777777" w:rsidR="0086438E" w:rsidRPr="00F91164" w:rsidRDefault="0086438E" w:rsidP="005804A3">
            <w:pPr>
              <w:spacing w:after="0" w:line="240" w:lineRule="auto"/>
              <w:jc w:val="both"/>
              <w:rPr>
                <w:lang w:val="en-GB" w:eastAsia="sk-SK"/>
              </w:rPr>
            </w:pPr>
          </w:p>
          <w:p w14:paraId="5985F32B" w14:textId="3C83217C" w:rsidR="00C77173" w:rsidRPr="00F91164" w:rsidRDefault="00C77173" w:rsidP="005804A3">
            <w:pPr>
              <w:spacing w:after="0" w:line="240" w:lineRule="auto"/>
              <w:jc w:val="both"/>
              <w:rPr>
                <w:lang w:val="en-GB" w:eastAsia="sk-SK"/>
              </w:rPr>
            </w:pPr>
          </w:p>
        </w:tc>
      </w:tr>
      <w:tr w:rsidR="003C1EF5" w:rsidRPr="0095099D" w14:paraId="24F55080" w14:textId="77777777" w:rsidTr="007E098B">
        <w:trPr>
          <w:trHeight w:val="540"/>
        </w:trPr>
        <w:tc>
          <w:tcPr>
            <w:tcW w:w="4535"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6D15D305" w14:textId="62753117" w:rsidR="003C1EF5" w:rsidRPr="006223E2" w:rsidRDefault="003C1EF5" w:rsidP="005804A3">
            <w:pPr>
              <w:spacing w:after="0" w:line="240" w:lineRule="auto"/>
              <w:rPr>
                <w:rFonts w:eastAsia="Times New Roman" w:cstheme="minorHAnsi"/>
                <w:color w:val="FFFFFF" w:themeColor="background1"/>
                <w:sz w:val="20"/>
                <w:szCs w:val="20"/>
                <w:lang w:val="en-GB" w:eastAsia="sk-SK"/>
              </w:rPr>
            </w:pPr>
            <w:r w:rsidRPr="006223E2">
              <w:rPr>
                <w:rFonts w:eastAsia="Times New Roman" w:cstheme="minorHAnsi"/>
                <w:b/>
                <w:bCs/>
                <w:color w:val="FFFFFF" w:themeColor="background1"/>
                <w:sz w:val="20"/>
                <w:szCs w:val="20"/>
                <w:lang w:val="en-GB" w:eastAsia="sk-SK"/>
              </w:rPr>
              <w:t>OPPORTUNITIES</w:t>
            </w:r>
          </w:p>
        </w:tc>
        <w:tc>
          <w:tcPr>
            <w:tcW w:w="4535" w:type="dxa"/>
            <w:tcBorders>
              <w:top w:val="nil"/>
              <w:left w:val="nil"/>
              <w:bottom w:val="single" w:sz="8" w:space="0" w:color="FFFFFF" w:themeColor="background1"/>
              <w:right w:val="single" w:sz="8" w:space="0" w:color="FFFFFF" w:themeColor="background1"/>
            </w:tcBorders>
            <w:shd w:val="clear" w:color="auto" w:fill="002060"/>
            <w:vAlign w:val="center"/>
          </w:tcPr>
          <w:p w14:paraId="794D48F8" w14:textId="44E92662" w:rsidR="003C1EF5" w:rsidRPr="006223E2" w:rsidRDefault="003C1EF5" w:rsidP="005804A3">
            <w:pPr>
              <w:spacing w:before="60" w:after="240" w:line="240" w:lineRule="auto"/>
              <w:jc w:val="both"/>
              <w:rPr>
                <w:rFonts w:eastAsia="Times New Roman" w:cstheme="minorHAnsi"/>
                <w:color w:val="FFFFFF" w:themeColor="background1"/>
                <w:sz w:val="20"/>
                <w:szCs w:val="20"/>
                <w:lang w:val="en-GB" w:eastAsia="sk-SK"/>
              </w:rPr>
            </w:pPr>
            <w:r w:rsidRPr="006223E2">
              <w:rPr>
                <w:rFonts w:eastAsia="Times New Roman" w:cstheme="minorHAnsi"/>
                <w:b/>
                <w:bCs/>
                <w:color w:val="FFFFFF" w:themeColor="background1"/>
                <w:sz w:val="20"/>
                <w:szCs w:val="20"/>
                <w:lang w:val="en-GB" w:eastAsia="sk-SK"/>
              </w:rPr>
              <w:t>THREATS</w:t>
            </w:r>
          </w:p>
        </w:tc>
      </w:tr>
      <w:tr w:rsidR="003C1EF5" w:rsidRPr="0095099D" w14:paraId="3B061C42" w14:textId="77777777" w:rsidTr="007E098B">
        <w:trPr>
          <w:trHeight w:val="54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5463EEDE" w14:textId="77777777" w:rsidR="00CF30F2" w:rsidRDefault="00CF30F2" w:rsidP="007E098B">
            <w:pPr>
              <w:spacing w:after="0" w:line="240" w:lineRule="auto"/>
              <w:ind w:right="217"/>
              <w:jc w:val="center"/>
              <w:rPr>
                <w:rFonts w:eastAsia="Times New Roman"/>
                <w:color w:val="EE0000"/>
                <w:sz w:val="20"/>
                <w:szCs w:val="20"/>
                <w:lang w:val="en-GB" w:eastAsia="sk-SK"/>
              </w:rPr>
            </w:pPr>
          </w:p>
          <w:p w14:paraId="42D100E9" w14:textId="77777777" w:rsidR="000B604E" w:rsidRPr="000B604E" w:rsidRDefault="000B604E" w:rsidP="000B604E">
            <w:pPr>
              <w:pStyle w:val="Odsekzoznamu"/>
              <w:numPr>
                <w:ilvl w:val="0"/>
                <w:numId w:val="16"/>
              </w:numPr>
              <w:spacing w:after="0"/>
              <w:ind w:left="345" w:right="217" w:hanging="345"/>
              <w:rPr>
                <w:lang w:val="en-GB" w:eastAsia="sk-SK"/>
              </w:rPr>
            </w:pPr>
            <w:r w:rsidRPr="000B604E">
              <w:rPr>
                <w:lang w:val="en-GB" w:eastAsia="sk-SK"/>
              </w:rPr>
              <w:t>Increasing investments in research and innovation</w:t>
            </w:r>
          </w:p>
          <w:p w14:paraId="671CBEA3" w14:textId="77777777" w:rsidR="000B604E" w:rsidRPr="000B604E" w:rsidRDefault="000B604E" w:rsidP="000B604E">
            <w:pPr>
              <w:pStyle w:val="Odsekzoznamu"/>
              <w:numPr>
                <w:ilvl w:val="0"/>
                <w:numId w:val="16"/>
              </w:numPr>
              <w:spacing w:after="0"/>
              <w:ind w:left="345" w:right="217" w:hanging="345"/>
              <w:rPr>
                <w:lang w:val="en-GB" w:eastAsia="sk-SK"/>
              </w:rPr>
            </w:pPr>
            <w:r w:rsidRPr="000B604E">
              <w:rPr>
                <w:lang w:val="en-GB" w:eastAsia="sk-SK"/>
              </w:rPr>
              <w:t>Growing proportion of higher education graduates</w:t>
            </w:r>
          </w:p>
          <w:p w14:paraId="54CA64CE" w14:textId="77777777" w:rsidR="000B604E" w:rsidRPr="000B604E" w:rsidRDefault="000B604E" w:rsidP="000B604E">
            <w:pPr>
              <w:pStyle w:val="Odsekzoznamu"/>
              <w:numPr>
                <w:ilvl w:val="0"/>
                <w:numId w:val="16"/>
              </w:numPr>
              <w:spacing w:after="0"/>
              <w:ind w:left="345" w:right="217" w:hanging="345"/>
              <w:rPr>
                <w:lang w:val="en-GB" w:eastAsia="sk-SK"/>
              </w:rPr>
            </w:pPr>
            <w:r w:rsidRPr="000B604E">
              <w:rPr>
                <w:lang w:val="en-GB" w:eastAsia="sk-SK"/>
              </w:rPr>
              <w:t>Presence of strong innovation players – Germany and Austria</w:t>
            </w:r>
          </w:p>
          <w:p w14:paraId="721E0275" w14:textId="078A6CDE" w:rsidR="003C1EF5" w:rsidRPr="0095099D" w:rsidRDefault="003C1EF5" w:rsidP="005804A3">
            <w:pPr>
              <w:spacing w:after="0" w:line="240" w:lineRule="auto"/>
              <w:jc w:val="center"/>
              <w:rPr>
                <w:rFonts w:eastAsia="Times New Roman" w:cstheme="minorHAnsi"/>
                <w:b/>
                <w:bCs/>
                <w:color w:val="EE0000"/>
                <w:sz w:val="20"/>
                <w:szCs w:val="20"/>
                <w:lang w:val="en-GB" w:eastAsia="sk-SK"/>
              </w:rPr>
            </w:pPr>
          </w:p>
        </w:tc>
        <w:tc>
          <w:tcPr>
            <w:tcW w:w="4535" w:type="dxa"/>
            <w:tcBorders>
              <w:top w:val="nil"/>
              <w:left w:val="nil"/>
              <w:bottom w:val="nil"/>
              <w:right w:val="single" w:sz="8" w:space="0" w:color="FFFFFF" w:themeColor="background1"/>
            </w:tcBorders>
            <w:shd w:val="clear" w:color="auto" w:fill="F2F2F2" w:themeFill="background1" w:themeFillShade="F2"/>
            <w:vAlign w:val="center"/>
            <w:hideMark/>
          </w:tcPr>
          <w:p w14:paraId="00BB3DD1" w14:textId="77777777" w:rsidR="00491D53" w:rsidRDefault="00491D53" w:rsidP="005804A3">
            <w:pPr>
              <w:spacing w:after="0" w:line="240" w:lineRule="auto"/>
              <w:jc w:val="center"/>
              <w:rPr>
                <w:rFonts w:eastAsia="Times New Roman"/>
                <w:color w:val="EE0000"/>
                <w:sz w:val="20"/>
                <w:szCs w:val="20"/>
                <w:lang w:val="en-GB" w:eastAsia="sk-SK"/>
              </w:rPr>
            </w:pPr>
          </w:p>
          <w:p w14:paraId="637C5912" w14:textId="77777777" w:rsidR="00F76F9E" w:rsidRPr="00F76F9E" w:rsidRDefault="00F76F9E" w:rsidP="00F76F9E">
            <w:pPr>
              <w:pStyle w:val="Odsekzoznamu"/>
              <w:numPr>
                <w:ilvl w:val="0"/>
                <w:numId w:val="11"/>
              </w:numPr>
              <w:spacing w:after="0"/>
              <w:ind w:left="483" w:hanging="425"/>
              <w:jc w:val="both"/>
              <w:rPr>
                <w:lang w:val="en-GB" w:eastAsia="sk-SK"/>
              </w:rPr>
            </w:pPr>
            <w:r w:rsidRPr="00F76F9E">
              <w:rPr>
                <w:lang w:val="en-GB" w:eastAsia="sk-SK"/>
              </w:rPr>
              <w:t>Insufficient research and innovation capacities, especially in non-EU countries</w:t>
            </w:r>
          </w:p>
          <w:p w14:paraId="3471E580" w14:textId="77777777" w:rsidR="00F76F9E" w:rsidRPr="00F76F9E" w:rsidRDefault="00F76F9E" w:rsidP="00F76F9E">
            <w:pPr>
              <w:pStyle w:val="Odsekzoznamu"/>
              <w:numPr>
                <w:ilvl w:val="0"/>
                <w:numId w:val="11"/>
              </w:numPr>
              <w:spacing w:after="0"/>
              <w:ind w:left="483" w:hanging="425"/>
              <w:jc w:val="both"/>
              <w:rPr>
                <w:lang w:val="en-GB" w:eastAsia="sk-SK"/>
              </w:rPr>
            </w:pPr>
            <w:r w:rsidRPr="00F76F9E">
              <w:rPr>
                <w:lang w:val="en-GB" w:eastAsia="sk-SK"/>
              </w:rPr>
              <w:t>Weak interest in collaborating on research and innovation projects</w:t>
            </w:r>
          </w:p>
          <w:p w14:paraId="107E30CD" w14:textId="77777777" w:rsidR="00F76F9E" w:rsidRPr="00F76F9E" w:rsidRDefault="00F76F9E" w:rsidP="00F76F9E">
            <w:pPr>
              <w:pStyle w:val="Odsekzoznamu"/>
              <w:numPr>
                <w:ilvl w:val="0"/>
                <w:numId w:val="11"/>
              </w:numPr>
              <w:spacing w:after="0"/>
              <w:ind w:left="483" w:hanging="425"/>
              <w:jc w:val="both"/>
              <w:rPr>
                <w:lang w:val="en-GB" w:eastAsia="sk-SK"/>
              </w:rPr>
            </w:pPr>
            <w:r w:rsidRPr="00F76F9E">
              <w:rPr>
                <w:lang w:val="en-GB" w:eastAsia="sk-SK"/>
              </w:rPr>
              <w:t>Inadequate venture capital in the countries</w:t>
            </w:r>
          </w:p>
          <w:p w14:paraId="5422DF05" w14:textId="77777777" w:rsidR="00F76F9E" w:rsidRPr="00F76F9E" w:rsidRDefault="00F76F9E" w:rsidP="00F76F9E">
            <w:pPr>
              <w:pStyle w:val="Odsekzoznamu"/>
              <w:numPr>
                <w:ilvl w:val="0"/>
                <w:numId w:val="11"/>
              </w:numPr>
              <w:spacing w:after="0"/>
              <w:ind w:left="483" w:hanging="425"/>
              <w:jc w:val="both"/>
              <w:rPr>
                <w:lang w:val="en-GB" w:eastAsia="sk-SK"/>
              </w:rPr>
            </w:pPr>
            <w:r w:rsidRPr="00F76F9E">
              <w:rPr>
                <w:lang w:val="en-GB" w:eastAsia="sk-SK"/>
              </w:rPr>
              <w:t>War in Ukraine</w:t>
            </w:r>
          </w:p>
          <w:p w14:paraId="10671165" w14:textId="77777777" w:rsidR="00E92F00" w:rsidRPr="00E92F00" w:rsidRDefault="00E92F00" w:rsidP="00E92F00">
            <w:pPr>
              <w:spacing w:after="0" w:line="240" w:lineRule="auto"/>
              <w:rPr>
                <w:rFonts w:eastAsia="Times New Roman"/>
                <w:sz w:val="20"/>
                <w:szCs w:val="20"/>
                <w:lang w:eastAsia="sk-SK"/>
              </w:rPr>
            </w:pPr>
          </w:p>
          <w:p w14:paraId="3048D1FE" w14:textId="77777777" w:rsidR="00491D53" w:rsidRDefault="00491D53" w:rsidP="005804A3">
            <w:pPr>
              <w:spacing w:after="0" w:line="240" w:lineRule="auto"/>
              <w:jc w:val="center"/>
              <w:rPr>
                <w:rFonts w:eastAsia="Times New Roman"/>
                <w:color w:val="EE0000"/>
                <w:sz w:val="20"/>
                <w:szCs w:val="20"/>
                <w:lang w:val="en-GB" w:eastAsia="sk-SK"/>
              </w:rPr>
            </w:pPr>
          </w:p>
          <w:p w14:paraId="0451390B" w14:textId="679DFD3C" w:rsidR="003C1EF5" w:rsidRPr="0095099D" w:rsidRDefault="003C1EF5" w:rsidP="005804A3">
            <w:pPr>
              <w:spacing w:after="0" w:line="240" w:lineRule="auto"/>
              <w:jc w:val="center"/>
              <w:rPr>
                <w:rFonts w:eastAsia="Times New Roman" w:cstheme="minorHAnsi"/>
                <w:b/>
                <w:bCs/>
                <w:color w:val="EE0000"/>
                <w:sz w:val="20"/>
                <w:szCs w:val="20"/>
                <w:lang w:val="en-GB" w:eastAsia="sk-SK"/>
              </w:rPr>
            </w:pPr>
          </w:p>
        </w:tc>
      </w:tr>
      <w:tr w:rsidR="003C1EF5" w:rsidRPr="0095099D" w14:paraId="46402EAF" w14:textId="77777777" w:rsidTr="00E92F00">
        <w:trPr>
          <w:trHeight w:val="810"/>
        </w:trPr>
        <w:tc>
          <w:tcPr>
            <w:tcW w:w="4535" w:type="dxa"/>
            <w:tcBorders>
              <w:top w:val="nil"/>
              <w:left w:val="single" w:sz="8" w:space="0" w:color="FFFFFF" w:themeColor="background1"/>
              <w:bottom w:val="nil"/>
              <w:right w:val="single" w:sz="8" w:space="0" w:color="FFFFFF" w:themeColor="background1"/>
            </w:tcBorders>
            <w:shd w:val="clear" w:color="auto" w:fill="F2F2F2" w:themeFill="background1" w:themeFillShade="F2"/>
            <w:hideMark/>
          </w:tcPr>
          <w:p w14:paraId="67567A3F" w14:textId="37077241" w:rsidR="003C1EF5" w:rsidRPr="0095099D" w:rsidRDefault="003C1EF5" w:rsidP="005804A3">
            <w:pPr>
              <w:spacing w:after="0" w:line="240" w:lineRule="auto"/>
              <w:jc w:val="both"/>
              <w:rPr>
                <w:rFonts w:eastAsia="Times New Roman"/>
                <w:color w:val="EE0000"/>
                <w:sz w:val="20"/>
                <w:szCs w:val="20"/>
                <w:lang w:val="en-GB" w:eastAsia="sk-SK"/>
              </w:rPr>
            </w:pPr>
          </w:p>
        </w:tc>
        <w:tc>
          <w:tcPr>
            <w:tcW w:w="4535" w:type="dxa"/>
            <w:tcBorders>
              <w:top w:val="nil"/>
              <w:left w:val="nil"/>
              <w:bottom w:val="nil"/>
              <w:right w:val="single" w:sz="8" w:space="0" w:color="FFFFFF" w:themeColor="background1"/>
            </w:tcBorders>
            <w:shd w:val="clear" w:color="auto" w:fill="F2F2F2" w:themeFill="background1" w:themeFillShade="F2"/>
          </w:tcPr>
          <w:p w14:paraId="7B9CB7B2" w14:textId="6D86A788" w:rsidR="003C1EF5" w:rsidRPr="0095099D" w:rsidRDefault="003C1EF5" w:rsidP="005804A3">
            <w:pPr>
              <w:spacing w:after="0" w:line="240" w:lineRule="auto"/>
              <w:jc w:val="both"/>
              <w:rPr>
                <w:rFonts w:eastAsia="Times New Roman"/>
                <w:color w:val="EE0000"/>
                <w:sz w:val="20"/>
                <w:szCs w:val="20"/>
                <w:lang w:val="en-GB" w:eastAsia="sk-SK"/>
              </w:rPr>
            </w:pPr>
          </w:p>
        </w:tc>
      </w:tr>
    </w:tbl>
    <w:p w14:paraId="27939B67" w14:textId="77777777" w:rsidR="00C77173" w:rsidRPr="00FD1E82" w:rsidRDefault="00C77173" w:rsidP="00C77173">
      <w:pPr>
        <w:spacing w:after="120" w:line="240" w:lineRule="auto"/>
        <w:jc w:val="both"/>
        <w:textAlignment w:val="baseline"/>
        <w:rPr>
          <w:rFonts w:ascii="Calibri" w:eastAsia="Times New Roman" w:hAnsi="Calibri" w:cs="Calibri"/>
          <w:lang w:val="en-GB" w:eastAsia="sk-SK"/>
        </w:rPr>
      </w:pPr>
    </w:p>
    <w:p w14:paraId="64BD8A52" w14:textId="77777777" w:rsidR="00C77173" w:rsidRDefault="00C77173" w:rsidP="00C77173">
      <w:pPr>
        <w:spacing w:after="0" w:line="240" w:lineRule="auto"/>
        <w:textAlignment w:val="baseline"/>
        <w:rPr>
          <w:rFonts w:ascii="Calibri" w:eastAsia="Times New Roman" w:hAnsi="Calibri" w:cs="Calibri"/>
          <w:lang w:val="en-GB" w:eastAsia="sk-SK"/>
        </w:rPr>
      </w:pPr>
    </w:p>
    <w:p w14:paraId="6622798E" w14:textId="77777777" w:rsidR="0045066F" w:rsidRDefault="0045066F" w:rsidP="00C77173">
      <w:pPr>
        <w:spacing w:after="0" w:line="240" w:lineRule="auto"/>
        <w:textAlignment w:val="baseline"/>
        <w:rPr>
          <w:rFonts w:ascii="Calibri" w:eastAsia="Times New Roman" w:hAnsi="Calibri" w:cs="Calibri"/>
          <w:lang w:val="en-GB" w:eastAsia="sk-SK"/>
        </w:rPr>
      </w:pPr>
    </w:p>
    <w:p w14:paraId="1465BE8C" w14:textId="77777777" w:rsidR="0045066F" w:rsidRDefault="0045066F" w:rsidP="00C77173">
      <w:pPr>
        <w:spacing w:after="0" w:line="240" w:lineRule="auto"/>
        <w:textAlignment w:val="baseline"/>
        <w:rPr>
          <w:rFonts w:ascii="Calibri" w:eastAsia="Times New Roman" w:hAnsi="Calibri" w:cs="Calibri"/>
          <w:lang w:val="en-GB" w:eastAsia="sk-SK"/>
        </w:rPr>
      </w:pPr>
    </w:p>
    <w:p w14:paraId="5B7CDFF4" w14:textId="77777777" w:rsidR="0045066F" w:rsidRDefault="0045066F" w:rsidP="00C77173">
      <w:pPr>
        <w:spacing w:after="0" w:line="240" w:lineRule="auto"/>
        <w:textAlignment w:val="baseline"/>
        <w:rPr>
          <w:rFonts w:ascii="Calibri" w:eastAsia="Times New Roman" w:hAnsi="Calibri" w:cs="Calibri"/>
          <w:lang w:val="en-GB" w:eastAsia="sk-SK"/>
        </w:rPr>
      </w:pPr>
    </w:p>
    <w:p w14:paraId="39F5686A" w14:textId="77777777" w:rsidR="0045066F" w:rsidRDefault="0045066F" w:rsidP="00C77173">
      <w:pPr>
        <w:spacing w:after="0" w:line="240" w:lineRule="auto"/>
        <w:textAlignment w:val="baseline"/>
        <w:rPr>
          <w:rFonts w:ascii="Calibri" w:eastAsia="Times New Roman" w:hAnsi="Calibri" w:cs="Calibri"/>
          <w:lang w:val="en-GB" w:eastAsia="sk-SK"/>
        </w:rPr>
      </w:pPr>
    </w:p>
    <w:p w14:paraId="3A9DE0C5" w14:textId="77777777" w:rsidR="0045066F" w:rsidRPr="00FD1E82" w:rsidRDefault="0045066F" w:rsidP="00C77173">
      <w:pPr>
        <w:spacing w:after="0" w:line="240" w:lineRule="auto"/>
        <w:textAlignment w:val="baseline"/>
        <w:rPr>
          <w:rFonts w:ascii="Calibri" w:eastAsia="Times New Roman" w:hAnsi="Calibri" w:cs="Calibri"/>
          <w:lang w:val="en-GB" w:eastAsia="sk-SK"/>
        </w:rPr>
      </w:pPr>
    </w:p>
    <w:p w14:paraId="567045B4" w14:textId="77777777" w:rsidR="00C77173" w:rsidRPr="00FD1E82" w:rsidRDefault="00C77173" w:rsidP="00C77173">
      <w:pPr>
        <w:spacing w:after="0" w:line="240" w:lineRule="auto"/>
        <w:textAlignment w:val="baseline"/>
        <w:rPr>
          <w:rFonts w:ascii="Calibri" w:eastAsia="Times New Roman" w:hAnsi="Calibri" w:cs="Calibri"/>
          <w:lang w:val="en-GB" w:eastAsia="sk-SK"/>
        </w:rPr>
      </w:pPr>
    </w:p>
    <w:p w14:paraId="2C2EE308" w14:textId="77777777" w:rsidR="00C77173" w:rsidRPr="00270C68" w:rsidRDefault="00C77173" w:rsidP="00C77173">
      <w:pPr>
        <w:pStyle w:val="Nadpis1"/>
        <w:numPr>
          <w:ilvl w:val="0"/>
          <w:numId w:val="1"/>
        </w:numPr>
        <w:spacing w:after="120"/>
        <w:jc w:val="both"/>
        <w:rPr>
          <w:rStyle w:val="normaltextrun"/>
          <w:rFonts w:asciiTheme="minorHAnsi" w:hAnsiTheme="minorHAnsi" w:cs="Calibri Light"/>
          <w:b/>
          <w:bCs/>
          <w:color w:val="2F5496"/>
          <w:shd w:val="clear" w:color="auto" w:fill="FFFFFF"/>
          <w:lang w:val="en-GB"/>
        </w:rPr>
      </w:pPr>
      <w:bookmarkStart w:id="59" w:name="_Toc107413814"/>
      <w:bookmarkStart w:id="60" w:name="_Toc202166689"/>
      <w:r w:rsidRPr="00270C68">
        <w:rPr>
          <w:rStyle w:val="normaltextrun"/>
          <w:rFonts w:asciiTheme="minorHAnsi" w:hAnsiTheme="minorHAnsi" w:cs="Calibri Light"/>
          <w:b/>
          <w:bCs/>
          <w:color w:val="2F5496"/>
          <w:shd w:val="clear" w:color="auto" w:fill="FFFFFF"/>
          <w:lang w:val="en-GB"/>
        </w:rPr>
        <w:lastRenderedPageBreak/>
        <w:t>Recommendations for improving the current situation</w:t>
      </w:r>
      <w:bookmarkEnd w:id="59"/>
      <w:bookmarkEnd w:id="60"/>
    </w:p>
    <w:p w14:paraId="13A4CDB5" w14:textId="77777777" w:rsidR="003F7F13" w:rsidRPr="003F7F13" w:rsidRDefault="003F7F13" w:rsidP="003F7F13">
      <w:pPr>
        <w:pStyle w:val="paragraph"/>
        <w:jc w:val="both"/>
        <w:textAlignment w:val="baseline"/>
        <w:rPr>
          <w:rFonts w:asciiTheme="minorHAnsi" w:hAnsiTheme="minorHAnsi" w:cs="Calibri"/>
        </w:rPr>
      </w:pPr>
      <w:proofErr w:type="spellStart"/>
      <w:r w:rsidRPr="003F7F13">
        <w:rPr>
          <w:rFonts w:asciiTheme="minorHAnsi" w:hAnsiTheme="minorHAnsi" w:cs="Calibri"/>
        </w:rPr>
        <w:t>Based</w:t>
      </w:r>
      <w:proofErr w:type="spellEnd"/>
      <w:r w:rsidRPr="003F7F13">
        <w:rPr>
          <w:rFonts w:asciiTheme="minorHAnsi" w:hAnsiTheme="minorHAnsi" w:cs="Calibri"/>
        </w:rPr>
        <w:t xml:space="preserve"> on </w:t>
      </w:r>
      <w:proofErr w:type="spellStart"/>
      <w:r w:rsidRPr="003F7F13">
        <w:rPr>
          <w:rFonts w:asciiTheme="minorHAnsi" w:hAnsiTheme="minorHAnsi" w:cs="Calibri"/>
        </w:rPr>
        <w:t>the</w:t>
      </w:r>
      <w:proofErr w:type="spellEnd"/>
      <w:r w:rsidRPr="003F7F13">
        <w:rPr>
          <w:rFonts w:asciiTheme="minorHAnsi" w:hAnsiTheme="minorHAnsi" w:cs="Calibri"/>
        </w:rPr>
        <w:t xml:space="preserve"> </w:t>
      </w:r>
      <w:proofErr w:type="spellStart"/>
      <w:r w:rsidRPr="003F7F13">
        <w:rPr>
          <w:rFonts w:asciiTheme="minorHAnsi" w:hAnsiTheme="minorHAnsi" w:cs="Calibri"/>
        </w:rPr>
        <w:t>analysis</w:t>
      </w:r>
      <w:proofErr w:type="spellEnd"/>
      <w:r w:rsidRPr="003F7F13">
        <w:rPr>
          <w:rFonts w:asciiTheme="minorHAnsi" w:hAnsiTheme="minorHAnsi" w:cs="Calibri"/>
        </w:rPr>
        <w:t xml:space="preserve">, </w:t>
      </w:r>
      <w:proofErr w:type="spellStart"/>
      <w:r w:rsidRPr="003F7F13">
        <w:rPr>
          <w:rFonts w:asciiTheme="minorHAnsi" w:hAnsiTheme="minorHAnsi" w:cs="Calibri"/>
        </w:rPr>
        <w:t>we</w:t>
      </w:r>
      <w:proofErr w:type="spellEnd"/>
      <w:r w:rsidRPr="003F7F13">
        <w:rPr>
          <w:rFonts w:asciiTheme="minorHAnsi" w:hAnsiTheme="minorHAnsi" w:cs="Calibri"/>
        </w:rPr>
        <w:t xml:space="preserve"> </w:t>
      </w:r>
      <w:proofErr w:type="spellStart"/>
      <w:r w:rsidRPr="003F7F13">
        <w:rPr>
          <w:rFonts w:asciiTheme="minorHAnsi" w:hAnsiTheme="minorHAnsi" w:cs="Calibri"/>
        </w:rPr>
        <w:t>recommend</w:t>
      </w:r>
      <w:proofErr w:type="spellEnd"/>
      <w:r w:rsidRPr="003F7F13">
        <w:rPr>
          <w:rFonts w:asciiTheme="minorHAnsi" w:hAnsiTheme="minorHAnsi" w:cs="Calibri"/>
        </w:rPr>
        <w:t xml:space="preserve"> </w:t>
      </w:r>
      <w:proofErr w:type="spellStart"/>
      <w:r w:rsidRPr="003F7F13">
        <w:rPr>
          <w:rFonts w:asciiTheme="minorHAnsi" w:hAnsiTheme="minorHAnsi" w:cs="Calibri"/>
        </w:rPr>
        <w:t>the</w:t>
      </w:r>
      <w:proofErr w:type="spellEnd"/>
      <w:r w:rsidRPr="003F7F13">
        <w:rPr>
          <w:rFonts w:asciiTheme="minorHAnsi" w:hAnsiTheme="minorHAnsi" w:cs="Calibri"/>
        </w:rPr>
        <w:t xml:space="preserve"> </w:t>
      </w:r>
      <w:proofErr w:type="spellStart"/>
      <w:r w:rsidRPr="003F7F13">
        <w:rPr>
          <w:rFonts w:asciiTheme="minorHAnsi" w:hAnsiTheme="minorHAnsi" w:cs="Calibri"/>
        </w:rPr>
        <w:t>following</w:t>
      </w:r>
      <w:proofErr w:type="spellEnd"/>
      <w:r w:rsidRPr="003F7F13">
        <w:rPr>
          <w:rFonts w:asciiTheme="minorHAnsi" w:hAnsiTheme="minorHAnsi" w:cs="Calibri"/>
        </w:rPr>
        <w:t xml:space="preserve"> </w:t>
      </w:r>
      <w:proofErr w:type="spellStart"/>
      <w:r w:rsidRPr="003F7F13">
        <w:rPr>
          <w:rFonts w:asciiTheme="minorHAnsi" w:hAnsiTheme="minorHAnsi" w:cs="Calibri"/>
        </w:rPr>
        <w:t>measures</w:t>
      </w:r>
      <w:proofErr w:type="spellEnd"/>
      <w:r w:rsidRPr="003F7F13">
        <w:rPr>
          <w:rFonts w:asciiTheme="minorHAnsi" w:hAnsiTheme="minorHAnsi" w:cs="Calibri"/>
        </w:rPr>
        <w:t>:</w:t>
      </w:r>
    </w:p>
    <w:p w14:paraId="34744C15" w14:textId="77777777" w:rsidR="003F7F13" w:rsidRPr="003F7F13" w:rsidRDefault="003F7F13" w:rsidP="003F7F13">
      <w:pPr>
        <w:pStyle w:val="paragraph"/>
        <w:numPr>
          <w:ilvl w:val="0"/>
          <w:numId w:val="25"/>
        </w:numPr>
        <w:jc w:val="both"/>
        <w:textAlignment w:val="baseline"/>
        <w:rPr>
          <w:rFonts w:asciiTheme="minorHAnsi" w:hAnsiTheme="minorHAnsi" w:cs="Calibri"/>
        </w:rPr>
      </w:pPr>
      <w:proofErr w:type="spellStart"/>
      <w:r w:rsidRPr="003F7F13">
        <w:rPr>
          <w:rFonts w:asciiTheme="minorHAnsi" w:hAnsiTheme="minorHAnsi" w:cs="Calibri"/>
          <w:b/>
          <w:bCs/>
        </w:rPr>
        <w:t>Support</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for</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Capacity</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Building</w:t>
      </w:r>
      <w:proofErr w:type="spellEnd"/>
      <w:r w:rsidRPr="003F7F13">
        <w:rPr>
          <w:rFonts w:asciiTheme="minorHAnsi" w:hAnsiTheme="minorHAnsi" w:cs="Calibri"/>
        </w:rPr>
        <w:t xml:space="preserve">: </w:t>
      </w:r>
      <w:proofErr w:type="spellStart"/>
      <w:r w:rsidRPr="003F7F13">
        <w:rPr>
          <w:rFonts w:asciiTheme="minorHAnsi" w:hAnsiTheme="minorHAnsi" w:cs="Calibri"/>
        </w:rPr>
        <w:t>Enhance</w:t>
      </w:r>
      <w:proofErr w:type="spellEnd"/>
      <w:r w:rsidRPr="003F7F13">
        <w:rPr>
          <w:rFonts w:asciiTheme="minorHAnsi" w:hAnsiTheme="minorHAnsi" w:cs="Calibri"/>
        </w:rPr>
        <w:t xml:space="preserve"> </w:t>
      </w:r>
      <w:proofErr w:type="spellStart"/>
      <w:r w:rsidRPr="003F7F13">
        <w:rPr>
          <w:rFonts w:asciiTheme="minorHAnsi" w:hAnsiTheme="minorHAnsi" w:cs="Calibri"/>
        </w:rPr>
        <w:t>capacities</w:t>
      </w:r>
      <w:proofErr w:type="spellEnd"/>
      <w:r w:rsidRPr="003F7F13">
        <w:rPr>
          <w:rFonts w:asciiTheme="minorHAnsi" w:hAnsiTheme="minorHAnsi" w:cs="Calibri"/>
        </w:rPr>
        <w:t xml:space="preserve"> to </w:t>
      </w:r>
      <w:proofErr w:type="spellStart"/>
      <w:r w:rsidRPr="003F7F13">
        <w:rPr>
          <w:rFonts w:asciiTheme="minorHAnsi" w:hAnsiTheme="minorHAnsi" w:cs="Calibri"/>
        </w:rPr>
        <w:t>tackle</w:t>
      </w:r>
      <w:proofErr w:type="spellEnd"/>
      <w:r w:rsidRPr="003F7F13">
        <w:rPr>
          <w:rFonts w:asciiTheme="minorHAnsi" w:hAnsiTheme="minorHAnsi" w:cs="Calibri"/>
        </w:rPr>
        <w:t xml:space="preserve"> </w:t>
      </w:r>
      <w:proofErr w:type="spellStart"/>
      <w:r w:rsidRPr="003F7F13">
        <w:rPr>
          <w:rFonts w:asciiTheme="minorHAnsi" w:hAnsiTheme="minorHAnsi" w:cs="Calibri"/>
        </w:rPr>
        <w:t>joint</w:t>
      </w:r>
      <w:proofErr w:type="spellEnd"/>
      <w:r w:rsidRPr="003F7F13">
        <w:rPr>
          <w:rFonts w:asciiTheme="minorHAnsi" w:hAnsiTheme="minorHAnsi" w:cs="Calibri"/>
        </w:rPr>
        <w:t xml:space="preserve"> </w:t>
      </w:r>
      <w:proofErr w:type="spellStart"/>
      <w:r w:rsidRPr="003F7F13">
        <w:rPr>
          <w:rFonts w:asciiTheme="minorHAnsi" w:hAnsiTheme="minorHAnsi" w:cs="Calibri"/>
        </w:rPr>
        <w:t>research</w:t>
      </w:r>
      <w:proofErr w:type="spellEnd"/>
      <w:r w:rsidRPr="003F7F13">
        <w:rPr>
          <w:rFonts w:asciiTheme="minorHAnsi" w:hAnsiTheme="minorHAnsi" w:cs="Calibri"/>
        </w:rPr>
        <w:t xml:space="preserve"> and </w:t>
      </w:r>
      <w:proofErr w:type="spellStart"/>
      <w:r w:rsidRPr="003F7F13">
        <w:rPr>
          <w:rFonts w:asciiTheme="minorHAnsi" w:hAnsiTheme="minorHAnsi" w:cs="Calibri"/>
        </w:rPr>
        <w:t>innovation</w:t>
      </w:r>
      <w:proofErr w:type="spellEnd"/>
      <w:r w:rsidRPr="003F7F13">
        <w:rPr>
          <w:rFonts w:asciiTheme="minorHAnsi" w:hAnsiTheme="minorHAnsi" w:cs="Calibri"/>
        </w:rPr>
        <w:t xml:space="preserve"> </w:t>
      </w:r>
      <w:proofErr w:type="spellStart"/>
      <w:r w:rsidRPr="003F7F13">
        <w:rPr>
          <w:rFonts w:asciiTheme="minorHAnsi" w:hAnsiTheme="minorHAnsi" w:cs="Calibri"/>
        </w:rPr>
        <w:t>projects</w:t>
      </w:r>
      <w:proofErr w:type="spellEnd"/>
      <w:r w:rsidRPr="003F7F13">
        <w:rPr>
          <w:rFonts w:asciiTheme="minorHAnsi" w:hAnsiTheme="minorHAnsi" w:cs="Calibri"/>
        </w:rPr>
        <w:t>.</w:t>
      </w:r>
    </w:p>
    <w:p w14:paraId="6C97855D" w14:textId="77777777" w:rsidR="003F7F13" w:rsidRPr="003F7F13" w:rsidRDefault="003F7F13" w:rsidP="003F7F13">
      <w:pPr>
        <w:pStyle w:val="paragraph"/>
        <w:numPr>
          <w:ilvl w:val="0"/>
          <w:numId w:val="25"/>
        </w:numPr>
        <w:jc w:val="both"/>
        <w:textAlignment w:val="baseline"/>
        <w:rPr>
          <w:rFonts w:asciiTheme="minorHAnsi" w:hAnsiTheme="minorHAnsi" w:cs="Calibri"/>
        </w:rPr>
      </w:pPr>
      <w:proofErr w:type="spellStart"/>
      <w:r w:rsidRPr="003F7F13">
        <w:rPr>
          <w:rFonts w:asciiTheme="minorHAnsi" w:hAnsiTheme="minorHAnsi" w:cs="Calibri"/>
          <w:b/>
          <w:bCs/>
        </w:rPr>
        <w:t>Regional</w:t>
      </w:r>
      <w:proofErr w:type="spellEnd"/>
      <w:r w:rsidRPr="003F7F13">
        <w:rPr>
          <w:rFonts w:asciiTheme="minorHAnsi" w:hAnsiTheme="minorHAnsi" w:cs="Calibri"/>
          <w:b/>
          <w:bCs/>
        </w:rPr>
        <w:t xml:space="preserve"> Mobility </w:t>
      </w:r>
      <w:proofErr w:type="spellStart"/>
      <w:r w:rsidRPr="003F7F13">
        <w:rPr>
          <w:rFonts w:asciiTheme="minorHAnsi" w:hAnsiTheme="minorHAnsi" w:cs="Calibri"/>
          <w:b/>
          <w:bCs/>
        </w:rPr>
        <w:t>Support</w:t>
      </w:r>
      <w:proofErr w:type="spellEnd"/>
      <w:r w:rsidRPr="003F7F13">
        <w:rPr>
          <w:rFonts w:asciiTheme="minorHAnsi" w:hAnsiTheme="minorHAnsi" w:cs="Calibri"/>
        </w:rPr>
        <w:t xml:space="preserve">: </w:t>
      </w:r>
      <w:proofErr w:type="spellStart"/>
      <w:r w:rsidRPr="003F7F13">
        <w:rPr>
          <w:rFonts w:asciiTheme="minorHAnsi" w:hAnsiTheme="minorHAnsi" w:cs="Calibri"/>
        </w:rPr>
        <w:t>Focus</w:t>
      </w:r>
      <w:proofErr w:type="spellEnd"/>
      <w:r w:rsidRPr="003F7F13">
        <w:rPr>
          <w:rFonts w:asciiTheme="minorHAnsi" w:hAnsiTheme="minorHAnsi" w:cs="Calibri"/>
        </w:rPr>
        <w:t xml:space="preserve"> on mobility </w:t>
      </w:r>
      <w:proofErr w:type="spellStart"/>
      <w:r w:rsidRPr="003F7F13">
        <w:rPr>
          <w:rFonts w:asciiTheme="minorHAnsi" w:hAnsiTheme="minorHAnsi" w:cs="Calibri"/>
        </w:rPr>
        <w:t>within</w:t>
      </w:r>
      <w:proofErr w:type="spellEnd"/>
      <w:r w:rsidRPr="003F7F13">
        <w:rPr>
          <w:rFonts w:asciiTheme="minorHAnsi" w:hAnsiTheme="minorHAnsi" w:cs="Calibri"/>
        </w:rPr>
        <w:t xml:space="preserve"> </w:t>
      </w:r>
      <w:proofErr w:type="spellStart"/>
      <w:r w:rsidRPr="003F7F13">
        <w:rPr>
          <w:rFonts w:asciiTheme="minorHAnsi" w:hAnsiTheme="minorHAnsi" w:cs="Calibri"/>
        </w:rPr>
        <w:t>the</w:t>
      </w:r>
      <w:proofErr w:type="spellEnd"/>
      <w:r w:rsidRPr="003F7F13">
        <w:rPr>
          <w:rFonts w:asciiTheme="minorHAnsi" w:hAnsiTheme="minorHAnsi" w:cs="Calibri"/>
        </w:rPr>
        <w:t xml:space="preserve"> </w:t>
      </w:r>
      <w:proofErr w:type="spellStart"/>
      <w:r w:rsidRPr="003F7F13">
        <w:rPr>
          <w:rFonts w:asciiTheme="minorHAnsi" w:hAnsiTheme="minorHAnsi" w:cs="Calibri"/>
        </w:rPr>
        <w:t>region</w:t>
      </w:r>
      <w:proofErr w:type="spellEnd"/>
      <w:r w:rsidRPr="003F7F13">
        <w:rPr>
          <w:rFonts w:asciiTheme="minorHAnsi" w:hAnsiTheme="minorHAnsi" w:cs="Calibri"/>
        </w:rPr>
        <w:t xml:space="preserve">, </w:t>
      </w:r>
      <w:proofErr w:type="spellStart"/>
      <w:r w:rsidRPr="003F7F13">
        <w:rPr>
          <w:rFonts w:asciiTheme="minorHAnsi" w:hAnsiTheme="minorHAnsi" w:cs="Calibri"/>
        </w:rPr>
        <w:t>not</w:t>
      </w:r>
      <w:proofErr w:type="spellEnd"/>
      <w:r w:rsidRPr="003F7F13">
        <w:rPr>
          <w:rFonts w:asciiTheme="minorHAnsi" w:hAnsiTheme="minorHAnsi" w:cs="Calibri"/>
        </w:rPr>
        <w:t xml:space="preserve"> </w:t>
      </w:r>
      <w:proofErr w:type="spellStart"/>
      <w:r w:rsidRPr="003F7F13">
        <w:rPr>
          <w:rFonts w:asciiTheme="minorHAnsi" w:hAnsiTheme="minorHAnsi" w:cs="Calibri"/>
        </w:rPr>
        <w:t>only</w:t>
      </w:r>
      <w:proofErr w:type="spellEnd"/>
      <w:r w:rsidRPr="003F7F13">
        <w:rPr>
          <w:rFonts w:asciiTheme="minorHAnsi" w:hAnsiTheme="minorHAnsi" w:cs="Calibri"/>
        </w:rPr>
        <w:t xml:space="preserve"> </w:t>
      </w:r>
      <w:proofErr w:type="spellStart"/>
      <w:r w:rsidRPr="003F7F13">
        <w:rPr>
          <w:rFonts w:asciiTheme="minorHAnsi" w:hAnsiTheme="minorHAnsi" w:cs="Calibri"/>
        </w:rPr>
        <w:t>for</w:t>
      </w:r>
      <w:proofErr w:type="spellEnd"/>
      <w:r w:rsidRPr="003F7F13">
        <w:rPr>
          <w:rFonts w:asciiTheme="minorHAnsi" w:hAnsiTheme="minorHAnsi" w:cs="Calibri"/>
        </w:rPr>
        <w:t xml:space="preserve"> </w:t>
      </w:r>
      <w:proofErr w:type="spellStart"/>
      <w:r w:rsidRPr="003F7F13">
        <w:rPr>
          <w:rFonts w:asciiTheme="minorHAnsi" w:hAnsiTheme="minorHAnsi" w:cs="Calibri"/>
        </w:rPr>
        <w:t>researchers</w:t>
      </w:r>
      <w:proofErr w:type="spellEnd"/>
      <w:r w:rsidRPr="003F7F13">
        <w:rPr>
          <w:rFonts w:asciiTheme="minorHAnsi" w:hAnsiTheme="minorHAnsi" w:cs="Calibri"/>
        </w:rPr>
        <w:t xml:space="preserve"> and </w:t>
      </w:r>
      <w:proofErr w:type="spellStart"/>
      <w:r w:rsidRPr="003F7F13">
        <w:rPr>
          <w:rFonts w:asciiTheme="minorHAnsi" w:hAnsiTheme="minorHAnsi" w:cs="Calibri"/>
        </w:rPr>
        <w:t>students</w:t>
      </w:r>
      <w:proofErr w:type="spellEnd"/>
      <w:r w:rsidRPr="003F7F13">
        <w:rPr>
          <w:rFonts w:asciiTheme="minorHAnsi" w:hAnsiTheme="minorHAnsi" w:cs="Calibri"/>
        </w:rPr>
        <w:t xml:space="preserve"> </w:t>
      </w:r>
      <w:proofErr w:type="spellStart"/>
      <w:r w:rsidRPr="003F7F13">
        <w:rPr>
          <w:rFonts w:asciiTheme="minorHAnsi" w:hAnsiTheme="minorHAnsi" w:cs="Calibri"/>
        </w:rPr>
        <w:t>but</w:t>
      </w:r>
      <w:proofErr w:type="spellEnd"/>
      <w:r w:rsidRPr="003F7F13">
        <w:rPr>
          <w:rFonts w:asciiTheme="minorHAnsi" w:hAnsiTheme="minorHAnsi" w:cs="Calibri"/>
        </w:rPr>
        <w:t xml:space="preserve"> </w:t>
      </w:r>
      <w:proofErr w:type="spellStart"/>
      <w:r w:rsidRPr="003F7F13">
        <w:rPr>
          <w:rFonts w:asciiTheme="minorHAnsi" w:hAnsiTheme="minorHAnsi" w:cs="Calibri"/>
        </w:rPr>
        <w:t>also</w:t>
      </w:r>
      <w:proofErr w:type="spellEnd"/>
      <w:r w:rsidRPr="003F7F13">
        <w:rPr>
          <w:rFonts w:asciiTheme="minorHAnsi" w:hAnsiTheme="minorHAnsi" w:cs="Calibri"/>
        </w:rPr>
        <w:t xml:space="preserve"> </w:t>
      </w:r>
      <w:proofErr w:type="spellStart"/>
      <w:r w:rsidRPr="003F7F13">
        <w:rPr>
          <w:rFonts w:asciiTheme="minorHAnsi" w:hAnsiTheme="minorHAnsi" w:cs="Calibri"/>
        </w:rPr>
        <w:t>for</w:t>
      </w:r>
      <w:proofErr w:type="spellEnd"/>
      <w:r w:rsidRPr="003F7F13">
        <w:rPr>
          <w:rFonts w:asciiTheme="minorHAnsi" w:hAnsiTheme="minorHAnsi" w:cs="Calibri"/>
        </w:rPr>
        <w:t xml:space="preserve"> </w:t>
      </w:r>
      <w:proofErr w:type="spellStart"/>
      <w:r w:rsidRPr="003F7F13">
        <w:rPr>
          <w:rFonts w:asciiTheme="minorHAnsi" w:hAnsiTheme="minorHAnsi" w:cs="Calibri"/>
        </w:rPr>
        <w:t>project</w:t>
      </w:r>
      <w:proofErr w:type="spellEnd"/>
      <w:r w:rsidRPr="003F7F13">
        <w:rPr>
          <w:rFonts w:asciiTheme="minorHAnsi" w:hAnsiTheme="minorHAnsi" w:cs="Calibri"/>
        </w:rPr>
        <w:t xml:space="preserve"> </w:t>
      </w:r>
      <w:proofErr w:type="spellStart"/>
      <w:r w:rsidRPr="003F7F13">
        <w:rPr>
          <w:rFonts w:asciiTheme="minorHAnsi" w:hAnsiTheme="minorHAnsi" w:cs="Calibri"/>
        </w:rPr>
        <w:t>managers</w:t>
      </w:r>
      <w:proofErr w:type="spellEnd"/>
      <w:r w:rsidRPr="003F7F13">
        <w:rPr>
          <w:rFonts w:asciiTheme="minorHAnsi" w:hAnsiTheme="minorHAnsi" w:cs="Calibri"/>
        </w:rPr>
        <w:t>.</w:t>
      </w:r>
    </w:p>
    <w:p w14:paraId="0BE4226C" w14:textId="77777777" w:rsidR="003F7F13" w:rsidRPr="003F7F13" w:rsidRDefault="003F7F13" w:rsidP="003F7F13">
      <w:pPr>
        <w:pStyle w:val="paragraph"/>
        <w:numPr>
          <w:ilvl w:val="0"/>
          <w:numId w:val="25"/>
        </w:numPr>
        <w:jc w:val="both"/>
        <w:textAlignment w:val="baseline"/>
        <w:rPr>
          <w:rFonts w:asciiTheme="minorHAnsi" w:hAnsiTheme="minorHAnsi" w:cs="Calibri"/>
        </w:rPr>
      </w:pPr>
      <w:r w:rsidRPr="003F7F13">
        <w:rPr>
          <w:rFonts w:asciiTheme="minorHAnsi" w:hAnsiTheme="minorHAnsi" w:cs="Calibri"/>
          <w:b/>
          <w:bCs/>
        </w:rPr>
        <w:t xml:space="preserve">Best </w:t>
      </w:r>
      <w:proofErr w:type="spellStart"/>
      <w:r w:rsidRPr="003F7F13">
        <w:rPr>
          <w:rFonts w:asciiTheme="minorHAnsi" w:hAnsiTheme="minorHAnsi" w:cs="Calibri"/>
          <w:b/>
          <w:bCs/>
        </w:rPr>
        <w:t>Practice</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Utilization</w:t>
      </w:r>
      <w:proofErr w:type="spellEnd"/>
      <w:r w:rsidRPr="003F7F13">
        <w:rPr>
          <w:rFonts w:asciiTheme="minorHAnsi" w:hAnsiTheme="minorHAnsi" w:cs="Calibri"/>
        </w:rPr>
        <w:t xml:space="preserve">: Transfer and </w:t>
      </w:r>
      <w:proofErr w:type="spellStart"/>
      <w:r w:rsidRPr="003F7F13">
        <w:rPr>
          <w:rFonts w:asciiTheme="minorHAnsi" w:hAnsiTheme="minorHAnsi" w:cs="Calibri"/>
        </w:rPr>
        <w:t>implement</w:t>
      </w:r>
      <w:proofErr w:type="spellEnd"/>
      <w:r w:rsidRPr="003F7F13">
        <w:rPr>
          <w:rFonts w:asciiTheme="minorHAnsi" w:hAnsiTheme="minorHAnsi" w:cs="Calibri"/>
        </w:rPr>
        <w:t xml:space="preserve"> </w:t>
      </w:r>
      <w:proofErr w:type="spellStart"/>
      <w:r w:rsidRPr="003F7F13">
        <w:rPr>
          <w:rFonts w:asciiTheme="minorHAnsi" w:hAnsiTheme="minorHAnsi" w:cs="Calibri"/>
        </w:rPr>
        <w:t>best</w:t>
      </w:r>
      <w:proofErr w:type="spellEnd"/>
      <w:r w:rsidRPr="003F7F13">
        <w:rPr>
          <w:rFonts w:asciiTheme="minorHAnsi" w:hAnsiTheme="minorHAnsi" w:cs="Calibri"/>
        </w:rPr>
        <w:t xml:space="preserve"> </w:t>
      </w:r>
      <w:proofErr w:type="spellStart"/>
      <w:r w:rsidRPr="003F7F13">
        <w:rPr>
          <w:rFonts w:asciiTheme="minorHAnsi" w:hAnsiTheme="minorHAnsi" w:cs="Calibri"/>
        </w:rPr>
        <w:t>practices</w:t>
      </w:r>
      <w:proofErr w:type="spellEnd"/>
      <w:r w:rsidRPr="003F7F13">
        <w:rPr>
          <w:rFonts w:asciiTheme="minorHAnsi" w:hAnsiTheme="minorHAnsi" w:cs="Calibri"/>
        </w:rPr>
        <w:t xml:space="preserve"> </w:t>
      </w:r>
      <w:proofErr w:type="spellStart"/>
      <w:r w:rsidRPr="003F7F13">
        <w:rPr>
          <w:rFonts w:asciiTheme="minorHAnsi" w:hAnsiTheme="minorHAnsi" w:cs="Calibri"/>
        </w:rPr>
        <w:t>between</w:t>
      </w:r>
      <w:proofErr w:type="spellEnd"/>
      <w:r w:rsidRPr="003F7F13">
        <w:rPr>
          <w:rFonts w:asciiTheme="minorHAnsi" w:hAnsiTheme="minorHAnsi" w:cs="Calibri"/>
        </w:rPr>
        <w:t xml:space="preserve"> </w:t>
      </w:r>
      <w:proofErr w:type="spellStart"/>
      <w:r w:rsidRPr="003F7F13">
        <w:rPr>
          <w:rFonts w:asciiTheme="minorHAnsi" w:hAnsiTheme="minorHAnsi" w:cs="Calibri"/>
        </w:rPr>
        <w:t>countries</w:t>
      </w:r>
      <w:proofErr w:type="spellEnd"/>
      <w:r w:rsidRPr="003F7F13">
        <w:rPr>
          <w:rFonts w:asciiTheme="minorHAnsi" w:hAnsiTheme="minorHAnsi" w:cs="Calibri"/>
        </w:rPr>
        <w:t>.</w:t>
      </w:r>
    </w:p>
    <w:p w14:paraId="4A09306C" w14:textId="77777777" w:rsidR="003F7F13" w:rsidRPr="003F7F13" w:rsidRDefault="003F7F13" w:rsidP="003F7F13">
      <w:pPr>
        <w:pStyle w:val="paragraph"/>
        <w:numPr>
          <w:ilvl w:val="0"/>
          <w:numId w:val="25"/>
        </w:numPr>
        <w:jc w:val="both"/>
        <w:textAlignment w:val="baseline"/>
        <w:rPr>
          <w:rFonts w:asciiTheme="minorHAnsi" w:hAnsiTheme="minorHAnsi" w:cs="Calibri"/>
        </w:rPr>
      </w:pPr>
      <w:proofErr w:type="spellStart"/>
      <w:r w:rsidRPr="003F7F13">
        <w:rPr>
          <w:rFonts w:asciiTheme="minorHAnsi" w:hAnsiTheme="minorHAnsi" w:cs="Calibri"/>
          <w:b/>
          <w:bCs/>
        </w:rPr>
        <w:t>Support</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for</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Networking</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Projects</w:t>
      </w:r>
      <w:proofErr w:type="spellEnd"/>
      <w:r w:rsidRPr="003F7F13">
        <w:rPr>
          <w:rFonts w:asciiTheme="minorHAnsi" w:hAnsiTheme="minorHAnsi" w:cs="Calibri"/>
        </w:rPr>
        <w:t xml:space="preserve">: </w:t>
      </w:r>
      <w:proofErr w:type="spellStart"/>
      <w:r w:rsidRPr="003F7F13">
        <w:rPr>
          <w:rFonts w:asciiTheme="minorHAnsi" w:hAnsiTheme="minorHAnsi" w:cs="Calibri"/>
        </w:rPr>
        <w:t>Promote</w:t>
      </w:r>
      <w:proofErr w:type="spellEnd"/>
      <w:r w:rsidRPr="003F7F13">
        <w:rPr>
          <w:rFonts w:asciiTheme="minorHAnsi" w:hAnsiTheme="minorHAnsi" w:cs="Calibri"/>
        </w:rPr>
        <w:t xml:space="preserve"> </w:t>
      </w:r>
      <w:proofErr w:type="spellStart"/>
      <w:r w:rsidRPr="003F7F13">
        <w:rPr>
          <w:rFonts w:asciiTheme="minorHAnsi" w:hAnsiTheme="minorHAnsi" w:cs="Calibri"/>
        </w:rPr>
        <w:t>smaller</w:t>
      </w:r>
      <w:proofErr w:type="spellEnd"/>
      <w:r w:rsidRPr="003F7F13">
        <w:rPr>
          <w:rFonts w:asciiTheme="minorHAnsi" w:hAnsiTheme="minorHAnsi" w:cs="Calibri"/>
        </w:rPr>
        <w:t xml:space="preserve"> </w:t>
      </w:r>
      <w:proofErr w:type="spellStart"/>
      <w:r w:rsidRPr="003F7F13">
        <w:rPr>
          <w:rFonts w:asciiTheme="minorHAnsi" w:hAnsiTheme="minorHAnsi" w:cs="Calibri"/>
        </w:rPr>
        <w:t>networking</w:t>
      </w:r>
      <w:proofErr w:type="spellEnd"/>
      <w:r w:rsidRPr="003F7F13">
        <w:rPr>
          <w:rFonts w:asciiTheme="minorHAnsi" w:hAnsiTheme="minorHAnsi" w:cs="Calibri"/>
        </w:rPr>
        <w:t xml:space="preserve"> </w:t>
      </w:r>
      <w:proofErr w:type="spellStart"/>
      <w:r w:rsidRPr="003F7F13">
        <w:rPr>
          <w:rFonts w:asciiTheme="minorHAnsi" w:hAnsiTheme="minorHAnsi" w:cs="Calibri"/>
        </w:rPr>
        <w:t>projects</w:t>
      </w:r>
      <w:proofErr w:type="spellEnd"/>
      <w:r w:rsidRPr="003F7F13">
        <w:rPr>
          <w:rFonts w:asciiTheme="minorHAnsi" w:hAnsiTheme="minorHAnsi" w:cs="Calibri"/>
        </w:rPr>
        <w:t xml:space="preserve"> </w:t>
      </w:r>
      <w:proofErr w:type="spellStart"/>
      <w:r w:rsidRPr="003F7F13">
        <w:rPr>
          <w:rFonts w:asciiTheme="minorHAnsi" w:hAnsiTheme="minorHAnsi" w:cs="Calibri"/>
        </w:rPr>
        <w:t>aimed</w:t>
      </w:r>
      <w:proofErr w:type="spellEnd"/>
      <w:r w:rsidRPr="003F7F13">
        <w:rPr>
          <w:rFonts w:asciiTheme="minorHAnsi" w:hAnsiTheme="minorHAnsi" w:cs="Calibri"/>
        </w:rPr>
        <w:t xml:space="preserve"> at </w:t>
      </w:r>
      <w:proofErr w:type="spellStart"/>
      <w:r w:rsidRPr="003F7F13">
        <w:rPr>
          <w:rFonts w:asciiTheme="minorHAnsi" w:hAnsiTheme="minorHAnsi" w:cs="Calibri"/>
        </w:rPr>
        <w:t>preparing</w:t>
      </w:r>
      <w:proofErr w:type="spellEnd"/>
      <w:r w:rsidRPr="003F7F13">
        <w:rPr>
          <w:rFonts w:asciiTheme="minorHAnsi" w:hAnsiTheme="minorHAnsi" w:cs="Calibri"/>
        </w:rPr>
        <w:t xml:space="preserve"> </w:t>
      </w:r>
      <w:proofErr w:type="spellStart"/>
      <w:r w:rsidRPr="003F7F13">
        <w:rPr>
          <w:rFonts w:asciiTheme="minorHAnsi" w:hAnsiTheme="minorHAnsi" w:cs="Calibri"/>
        </w:rPr>
        <w:t>proposals</w:t>
      </w:r>
      <w:proofErr w:type="spellEnd"/>
      <w:r w:rsidRPr="003F7F13">
        <w:rPr>
          <w:rFonts w:asciiTheme="minorHAnsi" w:hAnsiTheme="minorHAnsi" w:cs="Calibri"/>
        </w:rPr>
        <w:t xml:space="preserve"> </w:t>
      </w:r>
      <w:proofErr w:type="spellStart"/>
      <w:r w:rsidRPr="003F7F13">
        <w:rPr>
          <w:rFonts w:asciiTheme="minorHAnsi" w:hAnsiTheme="minorHAnsi" w:cs="Calibri"/>
        </w:rPr>
        <w:t>for</w:t>
      </w:r>
      <w:proofErr w:type="spellEnd"/>
      <w:r w:rsidRPr="003F7F13">
        <w:rPr>
          <w:rFonts w:asciiTheme="minorHAnsi" w:hAnsiTheme="minorHAnsi" w:cs="Calibri"/>
        </w:rPr>
        <w:t xml:space="preserve"> </w:t>
      </w:r>
      <w:proofErr w:type="spellStart"/>
      <w:r w:rsidRPr="003F7F13">
        <w:rPr>
          <w:rFonts w:asciiTheme="minorHAnsi" w:hAnsiTheme="minorHAnsi" w:cs="Calibri"/>
        </w:rPr>
        <w:t>framework</w:t>
      </w:r>
      <w:proofErr w:type="spellEnd"/>
      <w:r w:rsidRPr="003F7F13">
        <w:rPr>
          <w:rFonts w:asciiTheme="minorHAnsi" w:hAnsiTheme="minorHAnsi" w:cs="Calibri"/>
        </w:rPr>
        <w:t xml:space="preserve"> </w:t>
      </w:r>
      <w:proofErr w:type="spellStart"/>
      <w:r w:rsidRPr="003F7F13">
        <w:rPr>
          <w:rFonts w:asciiTheme="minorHAnsi" w:hAnsiTheme="minorHAnsi" w:cs="Calibri"/>
        </w:rPr>
        <w:t>programs</w:t>
      </w:r>
      <w:proofErr w:type="spellEnd"/>
      <w:r w:rsidRPr="003F7F13">
        <w:rPr>
          <w:rFonts w:asciiTheme="minorHAnsi" w:hAnsiTheme="minorHAnsi" w:cs="Calibri"/>
        </w:rPr>
        <w:t>.</w:t>
      </w:r>
    </w:p>
    <w:p w14:paraId="5D9378FF" w14:textId="77777777" w:rsidR="003F7F13" w:rsidRPr="003F7F13" w:rsidRDefault="003F7F13" w:rsidP="003F7F13">
      <w:pPr>
        <w:pStyle w:val="paragraph"/>
        <w:numPr>
          <w:ilvl w:val="0"/>
          <w:numId w:val="25"/>
        </w:numPr>
        <w:jc w:val="both"/>
        <w:textAlignment w:val="baseline"/>
        <w:rPr>
          <w:rFonts w:asciiTheme="minorHAnsi" w:hAnsiTheme="minorHAnsi" w:cs="Calibri"/>
        </w:rPr>
      </w:pPr>
      <w:proofErr w:type="spellStart"/>
      <w:r w:rsidRPr="003F7F13">
        <w:rPr>
          <w:rFonts w:asciiTheme="minorHAnsi" w:hAnsiTheme="minorHAnsi" w:cs="Calibri"/>
          <w:b/>
          <w:bCs/>
        </w:rPr>
        <w:t>Engagement</w:t>
      </w:r>
      <w:proofErr w:type="spellEnd"/>
      <w:r w:rsidRPr="003F7F13">
        <w:rPr>
          <w:rFonts w:asciiTheme="minorHAnsi" w:hAnsiTheme="minorHAnsi" w:cs="Calibri"/>
          <w:b/>
          <w:bCs/>
        </w:rPr>
        <w:t xml:space="preserve"> of </w:t>
      </w:r>
      <w:proofErr w:type="spellStart"/>
      <w:r w:rsidRPr="003F7F13">
        <w:rPr>
          <w:rFonts w:asciiTheme="minorHAnsi" w:hAnsiTheme="minorHAnsi" w:cs="Calibri"/>
          <w:b/>
          <w:bCs/>
        </w:rPr>
        <w:t>Various</w:t>
      </w:r>
      <w:proofErr w:type="spellEnd"/>
      <w:r w:rsidRPr="003F7F13">
        <w:rPr>
          <w:rFonts w:asciiTheme="minorHAnsi" w:hAnsiTheme="minorHAnsi" w:cs="Calibri"/>
          <w:b/>
          <w:bCs/>
        </w:rPr>
        <w:t xml:space="preserve"> </w:t>
      </w:r>
      <w:proofErr w:type="spellStart"/>
      <w:r w:rsidRPr="003F7F13">
        <w:rPr>
          <w:rFonts w:asciiTheme="minorHAnsi" w:hAnsiTheme="minorHAnsi" w:cs="Calibri"/>
          <w:b/>
          <w:bCs/>
        </w:rPr>
        <w:t>Sectors</w:t>
      </w:r>
      <w:proofErr w:type="spellEnd"/>
      <w:r w:rsidRPr="003F7F13">
        <w:rPr>
          <w:rFonts w:asciiTheme="minorHAnsi" w:hAnsiTheme="minorHAnsi" w:cs="Calibri"/>
        </w:rPr>
        <w:t xml:space="preserve">: </w:t>
      </w:r>
      <w:proofErr w:type="spellStart"/>
      <w:r w:rsidRPr="003F7F13">
        <w:rPr>
          <w:rFonts w:asciiTheme="minorHAnsi" w:hAnsiTheme="minorHAnsi" w:cs="Calibri"/>
        </w:rPr>
        <w:t>Involve</w:t>
      </w:r>
      <w:proofErr w:type="spellEnd"/>
      <w:r w:rsidRPr="003F7F13">
        <w:rPr>
          <w:rFonts w:asciiTheme="minorHAnsi" w:hAnsiTheme="minorHAnsi" w:cs="Calibri"/>
        </w:rPr>
        <w:t xml:space="preserve"> </w:t>
      </w:r>
      <w:proofErr w:type="spellStart"/>
      <w:r w:rsidRPr="003F7F13">
        <w:rPr>
          <w:rFonts w:asciiTheme="minorHAnsi" w:hAnsiTheme="minorHAnsi" w:cs="Calibri"/>
        </w:rPr>
        <w:t>stakeholders</w:t>
      </w:r>
      <w:proofErr w:type="spellEnd"/>
      <w:r w:rsidRPr="003F7F13">
        <w:rPr>
          <w:rFonts w:asciiTheme="minorHAnsi" w:hAnsiTheme="minorHAnsi" w:cs="Calibri"/>
        </w:rPr>
        <w:t xml:space="preserve"> </w:t>
      </w:r>
      <w:proofErr w:type="spellStart"/>
      <w:r w:rsidRPr="003F7F13">
        <w:rPr>
          <w:rFonts w:asciiTheme="minorHAnsi" w:hAnsiTheme="minorHAnsi" w:cs="Calibri"/>
        </w:rPr>
        <w:t>from</w:t>
      </w:r>
      <w:proofErr w:type="spellEnd"/>
      <w:r w:rsidRPr="003F7F13">
        <w:rPr>
          <w:rFonts w:asciiTheme="minorHAnsi" w:hAnsiTheme="minorHAnsi" w:cs="Calibri"/>
        </w:rPr>
        <w:t xml:space="preserve"> </w:t>
      </w:r>
      <w:proofErr w:type="spellStart"/>
      <w:r w:rsidRPr="003F7F13">
        <w:rPr>
          <w:rFonts w:asciiTheme="minorHAnsi" w:hAnsiTheme="minorHAnsi" w:cs="Calibri"/>
        </w:rPr>
        <w:t>different</w:t>
      </w:r>
      <w:proofErr w:type="spellEnd"/>
      <w:r w:rsidRPr="003F7F13">
        <w:rPr>
          <w:rFonts w:asciiTheme="minorHAnsi" w:hAnsiTheme="minorHAnsi" w:cs="Calibri"/>
        </w:rPr>
        <w:t xml:space="preserve"> </w:t>
      </w:r>
      <w:proofErr w:type="spellStart"/>
      <w:r w:rsidRPr="003F7F13">
        <w:rPr>
          <w:rFonts w:asciiTheme="minorHAnsi" w:hAnsiTheme="minorHAnsi" w:cs="Calibri"/>
        </w:rPr>
        <w:t>sectors</w:t>
      </w:r>
      <w:proofErr w:type="spellEnd"/>
      <w:r w:rsidRPr="003F7F13">
        <w:rPr>
          <w:rFonts w:asciiTheme="minorHAnsi" w:hAnsiTheme="minorHAnsi" w:cs="Calibri"/>
        </w:rPr>
        <w:t xml:space="preserve"> in </w:t>
      </w:r>
      <w:proofErr w:type="spellStart"/>
      <w:r w:rsidRPr="003F7F13">
        <w:rPr>
          <w:rFonts w:asciiTheme="minorHAnsi" w:hAnsiTheme="minorHAnsi" w:cs="Calibri"/>
        </w:rPr>
        <w:t>projects</w:t>
      </w:r>
      <w:proofErr w:type="spellEnd"/>
      <w:r w:rsidRPr="003F7F13">
        <w:rPr>
          <w:rFonts w:asciiTheme="minorHAnsi" w:hAnsiTheme="minorHAnsi" w:cs="Calibri"/>
        </w:rPr>
        <w:t>.</w:t>
      </w:r>
    </w:p>
    <w:p w14:paraId="24518BA6" w14:textId="45B6DF64" w:rsidR="00FA21C8" w:rsidRPr="00A40A0A" w:rsidRDefault="00FA21C8" w:rsidP="003F7F13">
      <w:pPr>
        <w:pStyle w:val="paragraph"/>
        <w:jc w:val="both"/>
        <w:textAlignment w:val="baseline"/>
        <w:rPr>
          <w:rFonts w:ascii="Calibri" w:hAnsi="Calibri" w:cs="Calibri"/>
          <w:sz w:val="22"/>
          <w:szCs w:val="22"/>
        </w:rPr>
      </w:pPr>
    </w:p>
    <w:sectPr w:rsidR="00FA21C8" w:rsidRPr="00A40A0A" w:rsidSect="00FC2F8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62CF" w14:textId="77777777" w:rsidR="0075036C" w:rsidRDefault="0075036C" w:rsidP="00172B84">
      <w:pPr>
        <w:spacing w:after="0" w:line="240" w:lineRule="auto"/>
      </w:pPr>
      <w:r>
        <w:separator/>
      </w:r>
    </w:p>
  </w:endnote>
  <w:endnote w:type="continuationSeparator" w:id="0">
    <w:p w14:paraId="29AB3E16" w14:textId="77777777" w:rsidR="0075036C" w:rsidRDefault="0075036C" w:rsidP="0017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FB13" w14:textId="77777777" w:rsidR="0075036C" w:rsidRDefault="0075036C" w:rsidP="00172B84">
      <w:pPr>
        <w:spacing w:after="0" w:line="240" w:lineRule="auto"/>
      </w:pPr>
      <w:r>
        <w:separator/>
      </w:r>
    </w:p>
  </w:footnote>
  <w:footnote w:type="continuationSeparator" w:id="0">
    <w:p w14:paraId="457BF331" w14:textId="77777777" w:rsidR="0075036C" w:rsidRDefault="0075036C" w:rsidP="00172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E9"/>
    <w:multiLevelType w:val="hybridMultilevel"/>
    <w:tmpl w:val="75C6C352"/>
    <w:lvl w:ilvl="0" w:tplc="DAE2B3E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F2168"/>
    <w:multiLevelType w:val="multilevel"/>
    <w:tmpl w:val="B190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0DD3"/>
    <w:multiLevelType w:val="multilevel"/>
    <w:tmpl w:val="F0B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429F7"/>
    <w:multiLevelType w:val="hybridMultilevel"/>
    <w:tmpl w:val="A828A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E521BD"/>
    <w:multiLevelType w:val="multilevel"/>
    <w:tmpl w:val="247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43F6C"/>
    <w:multiLevelType w:val="hybridMultilevel"/>
    <w:tmpl w:val="B608F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1E159D"/>
    <w:multiLevelType w:val="multilevel"/>
    <w:tmpl w:val="D8AA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B6407"/>
    <w:multiLevelType w:val="hybridMultilevel"/>
    <w:tmpl w:val="46B01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0F44EA"/>
    <w:multiLevelType w:val="multilevel"/>
    <w:tmpl w:val="B1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D21F1"/>
    <w:multiLevelType w:val="hybridMultilevel"/>
    <w:tmpl w:val="8E42F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91337A"/>
    <w:multiLevelType w:val="multilevel"/>
    <w:tmpl w:val="2CC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2E5715"/>
    <w:multiLevelType w:val="multilevel"/>
    <w:tmpl w:val="DD1E4B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8F66FA"/>
    <w:multiLevelType w:val="hybridMultilevel"/>
    <w:tmpl w:val="93467E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55D109B7"/>
    <w:multiLevelType w:val="multilevel"/>
    <w:tmpl w:val="A884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7B03AE"/>
    <w:multiLevelType w:val="multilevel"/>
    <w:tmpl w:val="C532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953D1"/>
    <w:multiLevelType w:val="multilevel"/>
    <w:tmpl w:val="892CCD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D0F1D"/>
    <w:multiLevelType w:val="hybridMultilevel"/>
    <w:tmpl w:val="0CB03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F5871B4"/>
    <w:multiLevelType w:val="hybridMultilevel"/>
    <w:tmpl w:val="C300779E"/>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4A4F7E"/>
    <w:multiLevelType w:val="hybridMultilevel"/>
    <w:tmpl w:val="C0BCA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9D5A17"/>
    <w:multiLevelType w:val="hybridMultilevel"/>
    <w:tmpl w:val="F9DE6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B155BA0"/>
    <w:multiLevelType w:val="multilevel"/>
    <w:tmpl w:val="0A8ABC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701F1"/>
    <w:multiLevelType w:val="hybridMultilevel"/>
    <w:tmpl w:val="40B0207E"/>
    <w:lvl w:ilvl="0" w:tplc="DAE2B3E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CBF197B"/>
    <w:multiLevelType w:val="multilevel"/>
    <w:tmpl w:val="58D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234E1D"/>
    <w:multiLevelType w:val="hybridMultilevel"/>
    <w:tmpl w:val="078019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64921481">
    <w:abstractNumId w:val="11"/>
  </w:num>
  <w:num w:numId="2" w16cid:durableId="2128162271">
    <w:abstractNumId w:val="20"/>
  </w:num>
  <w:num w:numId="3" w16cid:durableId="1702121867">
    <w:abstractNumId w:val="16"/>
  </w:num>
  <w:num w:numId="4" w16cid:durableId="1740714569">
    <w:abstractNumId w:val="9"/>
  </w:num>
  <w:num w:numId="5" w16cid:durableId="902718815">
    <w:abstractNumId w:val="5"/>
  </w:num>
  <w:num w:numId="6" w16cid:durableId="1328751049">
    <w:abstractNumId w:val="18"/>
  </w:num>
  <w:num w:numId="7" w16cid:durableId="1015040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999454">
    <w:abstractNumId w:val="17"/>
  </w:num>
  <w:num w:numId="9" w16cid:durableId="1565138387">
    <w:abstractNumId w:val="8"/>
  </w:num>
  <w:num w:numId="10" w16cid:durableId="639308819">
    <w:abstractNumId w:val="3"/>
  </w:num>
  <w:num w:numId="11" w16cid:durableId="1341931283">
    <w:abstractNumId w:val="23"/>
  </w:num>
  <w:num w:numId="12" w16cid:durableId="2076121475">
    <w:abstractNumId w:val="19"/>
  </w:num>
  <w:num w:numId="13" w16cid:durableId="1780878114">
    <w:abstractNumId w:val="12"/>
  </w:num>
  <w:num w:numId="14" w16cid:durableId="1508205124">
    <w:abstractNumId w:val="7"/>
  </w:num>
  <w:num w:numId="15" w16cid:durableId="394820705">
    <w:abstractNumId w:val="21"/>
  </w:num>
  <w:num w:numId="16" w16cid:durableId="44064804">
    <w:abstractNumId w:val="0"/>
  </w:num>
  <w:num w:numId="17" w16cid:durableId="1894193673">
    <w:abstractNumId w:val="15"/>
  </w:num>
  <w:num w:numId="18" w16cid:durableId="570505146">
    <w:abstractNumId w:val="10"/>
  </w:num>
  <w:num w:numId="19" w16cid:durableId="492331341">
    <w:abstractNumId w:val="6"/>
  </w:num>
  <w:num w:numId="20" w16cid:durableId="799543014">
    <w:abstractNumId w:val="4"/>
  </w:num>
  <w:num w:numId="21" w16cid:durableId="532503565">
    <w:abstractNumId w:val="1"/>
  </w:num>
  <w:num w:numId="22" w16cid:durableId="2044014605">
    <w:abstractNumId w:val="22"/>
  </w:num>
  <w:num w:numId="23" w16cid:durableId="725177769">
    <w:abstractNumId w:val="2"/>
  </w:num>
  <w:num w:numId="24" w16cid:durableId="524943867">
    <w:abstractNumId w:val="13"/>
  </w:num>
  <w:num w:numId="25" w16cid:durableId="69376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C9"/>
    <w:rsid w:val="000012CA"/>
    <w:rsid w:val="00006876"/>
    <w:rsid w:val="00007166"/>
    <w:rsid w:val="0001157C"/>
    <w:rsid w:val="00011F96"/>
    <w:rsid w:val="00030861"/>
    <w:rsid w:val="00037D32"/>
    <w:rsid w:val="000411C0"/>
    <w:rsid w:val="000464B2"/>
    <w:rsid w:val="0004693A"/>
    <w:rsid w:val="00050C9E"/>
    <w:rsid w:val="00052BF4"/>
    <w:rsid w:val="00070CF4"/>
    <w:rsid w:val="000712B3"/>
    <w:rsid w:val="00072B6D"/>
    <w:rsid w:val="00074525"/>
    <w:rsid w:val="000816A0"/>
    <w:rsid w:val="00082C72"/>
    <w:rsid w:val="00082DDE"/>
    <w:rsid w:val="00086160"/>
    <w:rsid w:val="000933FC"/>
    <w:rsid w:val="00094B29"/>
    <w:rsid w:val="00095390"/>
    <w:rsid w:val="00097D4C"/>
    <w:rsid w:val="000A62E5"/>
    <w:rsid w:val="000A7FA6"/>
    <w:rsid w:val="000B1F99"/>
    <w:rsid w:val="000B20BE"/>
    <w:rsid w:val="000B231D"/>
    <w:rsid w:val="000B3E00"/>
    <w:rsid w:val="000B4DED"/>
    <w:rsid w:val="000B59F4"/>
    <w:rsid w:val="000B604E"/>
    <w:rsid w:val="000C2875"/>
    <w:rsid w:val="000C2980"/>
    <w:rsid w:val="000C2A28"/>
    <w:rsid w:val="000C3B77"/>
    <w:rsid w:val="000C5BB5"/>
    <w:rsid w:val="000C7660"/>
    <w:rsid w:val="000D0327"/>
    <w:rsid w:val="000D307F"/>
    <w:rsid w:val="000D4F29"/>
    <w:rsid w:val="000D5473"/>
    <w:rsid w:val="000D73DC"/>
    <w:rsid w:val="000E5E0A"/>
    <w:rsid w:val="000E7ADD"/>
    <w:rsid w:val="000F1B8B"/>
    <w:rsid w:val="00100A12"/>
    <w:rsid w:val="00102B08"/>
    <w:rsid w:val="00102CEA"/>
    <w:rsid w:val="0010369A"/>
    <w:rsid w:val="00111E39"/>
    <w:rsid w:val="00117479"/>
    <w:rsid w:val="0011777C"/>
    <w:rsid w:val="0011796A"/>
    <w:rsid w:val="0012470D"/>
    <w:rsid w:val="00124DAB"/>
    <w:rsid w:val="00125C6E"/>
    <w:rsid w:val="00132EC6"/>
    <w:rsid w:val="00133F40"/>
    <w:rsid w:val="00134851"/>
    <w:rsid w:val="00140414"/>
    <w:rsid w:val="00140DDC"/>
    <w:rsid w:val="00141EF5"/>
    <w:rsid w:val="00145904"/>
    <w:rsid w:val="001463C3"/>
    <w:rsid w:val="0015483B"/>
    <w:rsid w:val="001579D7"/>
    <w:rsid w:val="00164410"/>
    <w:rsid w:val="00164745"/>
    <w:rsid w:val="001659FF"/>
    <w:rsid w:val="001669C5"/>
    <w:rsid w:val="00171A0A"/>
    <w:rsid w:val="00172B84"/>
    <w:rsid w:val="00173013"/>
    <w:rsid w:val="0017515E"/>
    <w:rsid w:val="00175180"/>
    <w:rsid w:val="00176260"/>
    <w:rsid w:val="00190B89"/>
    <w:rsid w:val="00191470"/>
    <w:rsid w:val="00194DEC"/>
    <w:rsid w:val="001A01AC"/>
    <w:rsid w:val="001A313D"/>
    <w:rsid w:val="001A7C4B"/>
    <w:rsid w:val="001B0D88"/>
    <w:rsid w:val="001B3409"/>
    <w:rsid w:val="001B5CF7"/>
    <w:rsid w:val="001C31BE"/>
    <w:rsid w:val="001D3F89"/>
    <w:rsid w:val="001D6B85"/>
    <w:rsid w:val="001E08A2"/>
    <w:rsid w:val="001E6FAB"/>
    <w:rsid w:val="001E7735"/>
    <w:rsid w:val="001F20CD"/>
    <w:rsid w:val="001F67A1"/>
    <w:rsid w:val="0020100D"/>
    <w:rsid w:val="00201435"/>
    <w:rsid w:val="0020236D"/>
    <w:rsid w:val="0020285D"/>
    <w:rsid w:val="00206D81"/>
    <w:rsid w:val="00210CF0"/>
    <w:rsid w:val="0021498B"/>
    <w:rsid w:val="00222D32"/>
    <w:rsid w:val="00223BBF"/>
    <w:rsid w:val="002249E7"/>
    <w:rsid w:val="00226656"/>
    <w:rsid w:val="002333C6"/>
    <w:rsid w:val="00234109"/>
    <w:rsid w:val="002379EE"/>
    <w:rsid w:val="00240653"/>
    <w:rsid w:val="00241DB3"/>
    <w:rsid w:val="0024231E"/>
    <w:rsid w:val="00247845"/>
    <w:rsid w:val="00251378"/>
    <w:rsid w:val="00251DD3"/>
    <w:rsid w:val="00252F34"/>
    <w:rsid w:val="00253BFC"/>
    <w:rsid w:val="002541C3"/>
    <w:rsid w:val="002556CE"/>
    <w:rsid w:val="00255F18"/>
    <w:rsid w:val="00260633"/>
    <w:rsid w:val="002679E9"/>
    <w:rsid w:val="002679F7"/>
    <w:rsid w:val="002703C2"/>
    <w:rsid w:val="00270C68"/>
    <w:rsid w:val="00273FE0"/>
    <w:rsid w:val="002814DA"/>
    <w:rsid w:val="002823A7"/>
    <w:rsid w:val="00282BD9"/>
    <w:rsid w:val="00284F60"/>
    <w:rsid w:val="00285F22"/>
    <w:rsid w:val="002863EF"/>
    <w:rsid w:val="00286B7B"/>
    <w:rsid w:val="00291101"/>
    <w:rsid w:val="002930EA"/>
    <w:rsid w:val="0029709A"/>
    <w:rsid w:val="002B2257"/>
    <w:rsid w:val="002B2859"/>
    <w:rsid w:val="002B4C17"/>
    <w:rsid w:val="002B58B1"/>
    <w:rsid w:val="002B6308"/>
    <w:rsid w:val="002C3A1F"/>
    <w:rsid w:val="002C6118"/>
    <w:rsid w:val="002C6D05"/>
    <w:rsid w:val="002D7E38"/>
    <w:rsid w:val="002E5F95"/>
    <w:rsid w:val="002F3473"/>
    <w:rsid w:val="002F4A6B"/>
    <w:rsid w:val="002F4FB7"/>
    <w:rsid w:val="00301B5B"/>
    <w:rsid w:val="00302E21"/>
    <w:rsid w:val="00305A8E"/>
    <w:rsid w:val="0031264F"/>
    <w:rsid w:val="0032325F"/>
    <w:rsid w:val="0032361C"/>
    <w:rsid w:val="00323C76"/>
    <w:rsid w:val="00325C06"/>
    <w:rsid w:val="003261FE"/>
    <w:rsid w:val="00330661"/>
    <w:rsid w:val="00340A37"/>
    <w:rsid w:val="0035246B"/>
    <w:rsid w:val="003539AA"/>
    <w:rsid w:val="00355B23"/>
    <w:rsid w:val="003654EE"/>
    <w:rsid w:val="00365965"/>
    <w:rsid w:val="00367738"/>
    <w:rsid w:val="0037013C"/>
    <w:rsid w:val="0037138E"/>
    <w:rsid w:val="003715B8"/>
    <w:rsid w:val="003719FB"/>
    <w:rsid w:val="00373FE5"/>
    <w:rsid w:val="00376AB0"/>
    <w:rsid w:val="003867DF"/>
    <w:rsid w:val="00394638"/>
    <w:rsid w:val="003A2803"/>
    <w:rsid w:val="003A3100"/>
    <w:rsid w:val="003A3E8E"/>
    <w:rsid w:val="003A4CD6"/>
    <w:rsid w:val="003B0255"/>
    <w:rsid w:val="003B55DB"/>
    <w:rsid w:val="003B71C9"/>
    <w:rsid w:val="003B75D2"/>
    <w:rsid w:val="003C1EF5"/>
    <w:rsid w:val="003C62F2"/>
    <w:rsid w:val="003D2BC9"/>
    <w:rsid w:val="003D2FD9"/>
    <w:rsid w:val="003D7F41"/>
    <w:rsid w:val="003E02CE"/>
    <w:rsid w:val="003E077F"/>
    <w:rsid w:val="003E325F"/>
    <w:rsid w:val="003E6399"/>
    <w:rsid w:val="003E7700"/>
    <w:rsid w:val="003F022C"/>
    <w:rsid w:val="003F0359"/>
    <w:rsid w:val="003F570E"/>
    <w:rsid w:val="003F7F13"/>
    <w:rsid w:val="00400733"/>
    <w:rsid w:val="0040167A"/>
    <w:rsid w:val="00402BFE"/>
    <w:rsid w:val="0041051B"/>
    <w:rsid w:val="004136D6"/>
    <w:rsid w:val="00414220"/>
    <w:rsid w:val="0042040A"/>
    <w:rsid w:val="00421816"/>
    <w:rsid w:val="00423002"/>
    <w:rsid w:val="0042459E"/>
    <w:rsid w:val="004265F4"/>
    <w:rsid w:val="00431785"/>
    <w:rsid w:val="00436E2E"/>
    <w:rsid w:val="00447221"/>
    <w:rsid w:val="0045066F"/>
    <w:rsid w:val="004508D9"/>
    <w:rsid w:val="00451703"/>
    <w:rsid w:val="004531C8"/>
    <w:rsid w:val="0046131A"/>
    <w:rsid w:val="004615FD"/>
    <w:rsid w:val="004630BE"/>
    <w:rsid w:val="00463910"/>
    <w:rsid w:val="00470964"/>
    <w:rsid w:val="004774BB"/>
    <w:rsid w:val="00481807"/>
    <w:rsid w:val="004859EA"/>
    <w:rsid w:val="00490C6A"/>
    <w:rsid w:val="00491280"/>
    <w:rsid w:val="00491355"/>
    <w:rsid w:val="00491D53"/>
    <w:rsid w:val="004925EA"/>
    <w:rsid w:val="00493C0D"/>
    <w:rsid w:val="004A64DB"/>
    <w:rsid w:val="004B0E78"/>
    <w:rsid w:val="004B1974"/>
    <w:rsid w:val="004B3EB4"/>
    <w:rsid w:val="004B52C0"/>
    <w:rsid w:val="004B6278"/>
    <w:rsid w:val="004B6B58"/>
    <w:rsid w:val="004C0CC2"/>
    <w:rsid w:val="004C11F8"/>
    <w:rsid w:val="004C1E17"/>
    <w:rsid w:val="004C77A6"/>
    <w:rsid w:val="004D5856"/>
    <w:rsid w:val="004E2B08"/>
    <w:rsid w:val="004E2F12"/>
    <w:rsid w:val="004E7113"/>
    <w:rsid w:val="004E7F6F"/>
    <w:rsid w:val="004F666F"/>
    <w:rsid w:val="00501995"/>
    <w:rsid w:val="005114B4"/>
    <w:rsid w:val="0052385C"/>
    <w:rsid w:val="00523F7D"/>
    <w:rsid w:val="0053002A"/>
    <w:rsid w:val="00530096"/>
    <w:rsid w:val="00530E49"/>
    <w:rsid w:val="00531459"/>
    <w:rsid w:val="00534154"/>
    <w:rsid w:val="005348E5"/>
    <w:rsid w:val="00535596"/>
    <w:rsid w:val="005373AD"/>
    <w:rsid w:val="00543615"/>
    <w:rsid w:val="00546BCB"/>
    <w:rsid w:val="00547A11"/>
    <w:rsid w:val="0055061F"/>
    <w:rsid w:val="00556C8C"/>
    <w:rsid w:val="00556DE6"/>
    <w:rsid w:val="00557159"/>
    <w:rsid w:val="00562F0C"/>
    <w:rsid w:val="0056354F"/>
    <w:rsid w:val="00563B86"/>
    <w:rsid w:val="00566056"/>
    <w:rsid w:val="005670AF"/>
    <w:rsid w:val="005707B5"/>
    <w:rsid w:val="005707D4"/>
    <w:rsid w:val="00571024"/>
    <w:rsid w:val="0057276D"/>
    <w:rsid w:val="00575EC0"/>
    <w:rsid w:val="00583C16"/>
    <w:rsid w:val="005854D8"/>
    <w:rsid w:val="0058797B"/>
    <w:rsid w:val="005A241D"/>
    <w:rsid w:val="005A6F85"/>
    <w:rsid w:val="005A795C"/>
    <w:rsid w:val="005B0533"/>
    <w:rsid w:val="005B1825"/>
    <w:rsid w:val="005B2AF4"/>
    <w:rsid w:val="005B5078"/>
    <w:rsid w:val="005C24A9"/>
    <w:rsid w:val="005C50C5"/>
    <w:rsid w:val="005D2C21"/>
    <w:rsid w:val="005D4492"/>
    <w:rsid w:val="005D502E"/>
    <w:rsid w:val="005E2F6C"/>
    <w:rsid w:val="005F1DF1"/>
    <w:rsid w:val="005F22CF"/>
    <w:rsid w:val="005F32C1"/>
    <w:rsid w:val="005F4FFF"/>
    <w:rsid w:val="005F75FD"/>
    <w:rsid w:val="006005A7"/>
    <w:rsid w:val="0060081F"/>
    <w:rsid w:val="006015FF"/>
    <w:rsid w:val="00601D5A"/>
    <w:rsid w:val="00605711"/>
    <w:rsid w:val="00606D2F"/>
    <w:rsid w:val="00607A73"/>
    <w:rsid w:val="006101DB"/>
    <w:rsid w:val="0061043B"/>
    <w:rsid w:val="00610E37"/>
    <w:rsid w:val="00615E4F"/>
    <w:rsid w:val="006170A5"/>
    <w:rsid w:val="00620028"/>
    <w:rsid w:val="006223E2"/>
    <w:rsid w:val="00623CAF"/>
    <w:rsid w:val="00627A4A"/>
    <w:rsid w:val="00627E26"/>
    <w:rsid w:val="00631BD7"/>
    <w:rsid w:val="00632C5F"/>
    <w:rsid w:val="00634D7E"/>
    <w:rsid w:val="006379B9"/>
    <w:rsid w:val="00641B45"/>
    <w:rsid w:val="00643FA7"/>
    <w:rsid w:val="00644268"/>
    <w:rsid w:val="00644D26"/>
    <w:rsid w:val="00646E0C"/>
    <w:rsid w:val="00650BBE"/>
    <w:rsid w:val="006550AB"/>
    <w:rsid w:val="00655158"/>
    <w:rsid w:val="00665D2E"/>
    <w:rsid w:val="006740EB"/>
    <w:rsid w:val="006824A4"/>
    <w:rsid w:val="006838C6"/>
    <w:rsid w:val="00685A75"/>
    <w:rsid w:val="006879BF"/>
    <w:rsid w:val="00692636"/>
    <w:rsid w:val="0069314C"/>
    <w:rsid w:val="00693402"/>
    <w:rsid w:val="006A188F"/>
    <w:rsid w:val="006A3CEC"/>
    <w:rsid w:val="006A4ECB"/>
    <w:rsid w:val="006A5ABE"/>
    <w:rsid w:val="006B4687"/>
    <w:rsid w:val="006B7C73"/>
    <w:rsid w:val="006C1D2E"/>
    <w:rsid w:val="006C250F"/>
    <w:rsid w:val="006C767E"/>
    <w:rsid w:val="006D31AD"/>
    <w:rsid w:val="006D66D8"/>
    <w:rsid w:val="006E07C6"/>
    <w:rsid w:val="006E07E6"/>
    <w:rsid w:val="006E0B42"/>
    <w:rsid w:val="006E0C03"/>
    <w:rsid w:val="006E3048"/>
    <w:rsid w:val="006E63A8"/>
    <w:rsid w:val="006F1943"/>
    <w:rsid w:val="006F37A4"/>
    <w:rsid w:val="006F3BC4"/>
    <w:rsid w:val="006F6FDD"/>
    <w:rsid w:val="00701FE7"/>
    <w:rsid w:val="0070224A"/>
    <w:rsid w:val="00710024"/>
    <w:rsid w:val="00710789"/>
    <w:rsid w:val="00717988"/>
    <w:rsid w:val="00721B87"/>
    <w:rsid w:val="00724B08"/>
    <w:rsid w:val="00725886"/>
    <w:rsid w:val="00731CC5"/>
    <w:rsid w:val="00736015"/>
    <w:rsid w:val="00742808"/>
    <w:rsid w:val="00744456"/>
    <w:rsid w:val="00745158"/>
    <w:rsid w:val="007460AE"/>
    <w:rsid w:val="00746F8A"/>
    <w:rsid w:val="007477D4"/>
    <w:rsid w:val="0075036C"/>
    <w:rsid w:val="0075132C"/>
    <w:rsid w:val="0075408D"/>
    <w:rsid w:val="007549FC"/>
    <w:rsid w:val="00757D77"/>
    <w:rsid w:val="00762075"/>
    <w:rsid w:val="00762239"/>
    <w:rsid w:val="0076230A"/>
    <w:rsid w:val="00764585"/>
    <w:rsid w:val="00767816"/>
    <w:rsid w:val="00771E20"/>
    <w:rsid w:val="00773428"/>
    <w:rsid w:val="0077370C"/>
    <w:rsid w:val="00775B4D"/>
    <w:rsid w:val="00776FB9"/>
    <w:rsid w:val="007849DE"/>
    <w:rsid w:val="007868B7"/>
    <w:rsid w:val="0079303B"/>
    <w:rsid w:val="0079304B"/>
    <w:rsid w:val="0079425A"/>
    <w:rsid w:val="007A1AC7"/>
    <w:rsid w:val="007A2941"/>
    <w:rsid w:val="007A70CB"/>
    <w:rsid w:val="007B0B94"/>
    <w:rsid w:val="007B2586"/>
    <w:rsid w:val="007B4479"/>
    <w:rsid w:val="007B4A8F"/>
    <w:rsid w:val="007B6228"/>
    <w:rsid w:val="007C19E4"/>
    <w:rsid w:val="007C2979"/>
    <w:rsid w:val="007C622B"/>
    <w:rsid w:val="007C7402"/>
    <w:rsid w:val="007D4046"/>
    <w:rsid w:val="007D5DE6"/>
    <w:rsid w:val="007E098B"/>
    <w:rsid w:val="007E4DF4"/>
    <w:rsid w:val="007E71C5"/>
    <w:rsid w:val="007E7FB2"/>
    <w:rsid w:val="007F07CA"/>
    <w:rsid w:val="007F39E5"/>
    <w:rsid w:val="00805193"/>
    <w:rsid w:val="00806CEB"/>
    <w:rsid w:val="00810CB4"/>
    <w:rsid w:val="00811B23"/>
    <w:rsid w:val="008125BB"/>
    <w:rsid w:val="008137FC"/>
    <w:rsid w:val="00815471"/>
    <w:rsid w:val="0081566F"/>
    <w:rsid w:val="008235CB"/>
    <w:rsid w:val="00824B69"/>
    <w:rsid w:val="008324E5"/>
    <w:rsid w:val="00832E18"/>
    <w:rsid w:val="008344D4"/>
    <w:rsid w:val="00840F26"/>
    <w:rsid w:val="00841E88"/>
    <w:rsid w:val="00842C84"/>
    <w:rsid w:val="00843F51"/>
    <w:rsid w:val="00845FFB"/>
    <w:rsid w:val="0085349F"/>
    <w:rsid w:val="00855048"/>
    <w:rsid w:val="0086438E"/>
    <w:rsid w:val="008676CE"/>
    <w:rsid w:val="008702C3"/>
    <w:rsid w:val="008707D8"/>
    <w:rsid w:val="00876D20"/>
    <w:rsid w:val="00877092"/>
    <w:rsid w:val="00880460"/>
    <w:rsid w:val="0088099D"/>
    <w:rsid w:val="00882662"/>
    <w:rsid w:val="00885FE4"/>
    <w:rsid w:val="00886CB0"/>
    <w:rsid w:val="00891ADA"/>
    <w:rsid w:val="00891F4E"/>
    <w:rsid w:val="008941E7"/>
    <w:rsid w:val="008979D9"/>
    <w:rsid w:val="008A1DAD"/>
    <w:rsid w:val="008A5D2D"/>
    <w:rsid w:val="008A7CF8"/>
    <w:rsid w:val="008B2987"/>
    <w:rsid w:val="008B366D"/>
    <w:rsid w:val="008B3978"/>
    <w:rsid w:val="008B5307"/>
    <w:rsid w:val="008C0B02"/>
    <w:rsid w:val="008C1969"/>
    <w:rsid w:val="008C2018"/>
    <w:rsid w:val="008D03AC"/>
    <w:rsid w:val="008D3A9B"/>
    <w:rsid w:val="008D664E"/>
    <w:rsid w:val="008E12B4"/>
    <w:rsid w:val="008E5732"/>
    <w:rsid w:val="008F0AC4"/>
    <w:rsid w:val="008F2C56"/>
    <w:rsid w:val="008F4F86"/>
    <w:rsid w:val="009012A3"/>
    <w:rsid w:val="0090493E"/>
    <w:rsid w:val="00911B01"/>
    <w:rsid w:val="009122A8"/>
    <w:rsid w:val="0091424B"/>
    <w:rsid w:val="009157A4"/>
    <w:rsid w:val="00921F8F"/>
    <w:rsid w:val="0092788C"/>
    <w:rsid w:val="009317EC"/>
    <w:rsid w:val="00931CEE"/>
    <w:rsid w:val="0093302B"/>
    <w:rsid w:val="0093406F"/>
    <w:rsid w:val="009373C4"/>
    <w:rsid w:val="0094062C"/>
    <w:rsid w:val="00941290"/>
    <w:rsid w:val="009418E5"/>
    <w:rsid w:val="0094381E"/>
    <w:rsid w:val="009455AD"/>
    <w:rsid w:val="0094716B"/>
    <w:rsid w:val="0095099D"/>
    <w:rsid w:val="00950CFF"/>
    <w:rsid w:val="0096023B"/>
    <w:rsid w:val="00960DBD"/>
    <w:rsid w:val="009653F2"/>
    <w:rsid w:val="0096584E"/>
    <w:rsid w:val="00965EC0"/>
    <w:rsid w:val="0096697A"/>
    <w:rsid w:val="00966EF0"/>
    <w:rsid w:val="00967519"/>
    <w:rsid w:val="00973CD3"/>
    <w:rsid w:val="00975C4A"/>
    <w:rsid w:val="0097724D"/>
    <w:rsid w:val="00981247"/>
    <w:rsid w:val="00983F00"/>
    <w:rsid w:val="009845B7"/>
    <w:rsid w:val="009867C0"/>
    <w:rsid w:val="00990C01"/>
    <w:rsid w:val="00992AEA"/>
    <w:rsid w:val="009948CA"/>
    <w:rsid w:val="00994A2C"/>
    <w:rsid w:val="009A2697"/>
    <w:rsid w:val="009A3486"/>
    <w:rsid w:val="009A5186"/>
    <w:rsid w:val="009A7638"/>
    <w:rsid w:val="009B04EC"/>
    <w:rsid w:val="009B12F0"/>
    <w:rsid w:val="009C0BF0"/>
    <w:rsid w:val="009C13CE"/>
    <w:rsid w:val="009C5C48"/>
    <w:rsid w:val="009D4A7E"/>
    <w:rsid w:val="009D6D79"/>
    <w:rsid w:val="009D7B6A"/>
    <w:rsid w:val="009E0774"/>
    <w:rsid w:val="009E37A4"/>
    <w:rsid w:val="009E3916"/>
    <w:rsid w:val="009E4FD3"/>
    <w:rsid w:val="009F0F19"/>
    <w:rsid w:val="009F1228"/>
    <w:rsid w:val="009F1821"/>
    <w:rsid w:val="009F1DEE"/>
    <w:rsid w:val="009F256F"/>
    <w:rsid w:val="00A02850"/>
    <w:rsid w:val="00A03A33"/>
    <w:rsid w:val="00A05FB4"/>
    <w:rsid w:val="00A069B6"/>
    <w:rsid w:val="00A1272F"/>
    <w:rsid w:val="00A13014"/>
    <w:rsid w:val="00A2177C"/>
    <w:rsid w:val="00A21884"/>
    <w:rsid w:val="00A23B21"/>
    <w:rsid w:val="00A242AF"/>
    <w:rsid w:val="00A24D9D"/>
    <w:rsid w:val="00A30444"/>
    <w:rsid w:val="00A30E80"/>
    <w:rsid w:val="00A32787"/>
    <w:rsid w:val="00A344DA"/>
    <w:rsid w:val="00A34539"/>
    <w:rsid w:val="00A4092E"/>
    <w:rsid w:val="00A40A0A"/>
    <w:rsid w:val="00A4213D"/>
    <w:rsid w:val="00A421C9"/>
    <w:rsid w:val="00A457DB"/>
    <w:rsid w:val="00A51070"/>
    <w:rsid w:val="00A51379"/>
    <w:rsid w:val="00A546E2"/>
    <w:rsid w:val="00A55C56"/>
    <w:rsid w:val="00A57375"/>
    <w:rsid w:val="00A57626"/>
    <w:rsid w:val="00A57E1C"/>
    <w:rsid w:val="00A640C5"/>
    <w:rsid w:val="00A664BC"/>
    <w:rsid w:val="00A66799"/>
    <w:rsid w:val="00A66EBC"/>
    <w:rsid w:val="00A7004E"/>
    <w:rsid w:val="00A73A7F"/>
    <w:rsid w:val="00A74EAA"/>
    <w:rsid w:val="00A82448"/>
    <w:rsid w:val="00A85E80"/>
    <w:rsid w:val="00A917E6"/>
    <w:rsid w:val="00A93E86"/>
    <w:rsid w:val="00A94E6F"/>
    <w:rsid w:val="00AA06A1"/>
    <w:rsid w:val="00AA1E31"/>
    <w:rsid w:val="00AA1EB6"/>
    <w:rsid w:val="00AA2286"/>
    <w:rsid w:val="00AA259E"/>
    <w:rsid w:val="00AA33B0"/>
    <w:rsid w:val="00AA3E4E"/>
    <w:rsid w:val="00AA7799"/>
    <w:rsid w:val="00AC0926"/>
    <w:rsid w:val="00AC2E06"/>
    <w:rsid w:val="00AD7C0F"/>
    <w:rsid w:val="00AE1906"/>
    <w:rsid w:val="00AE5702"/>
    <w:rsid w:val="00AF2AD5"/>
    <w:rsid w:val="00AF32E9"/>
    <w:rsid w:val="00AF41CC"/>
    <w:rsid w:val="00AF44EA"/>
    <w:rsid w:val="00AF6007"/>
    <w:rsid w:val="00AF6AA4"/>
    <w:rsid w:val="00B02FCE"/>
    <w:rsid w:val="00B14833"/>
    <w:rsid w:val="00B15E88"/>
    <w:rsid w:val="00B166CE"/>
    <w:rsid w:val="00B23CA6"/>
    <w:rsid w:val="00B24697"/>
    <w:rsid w:val="00B24E83"/>
    <w:rsid w:val="00B311AF"/>
    <w:rsid w:val="00B31361"/>
    <w:rsid w:val="00B3181C"/>
    <w:rsid w:val="00B407E8"/>
    <w:rsid w:val="00B41812"/>
    <w:rsid w:val="00B4203E"/>
    <w:rsid w:val="00B44B18"/>
    <w:rsid w:val="00B53B34"/>
    <w:rsid w:val="00B64DD4"/>
    <w:rsid w:val="00B76DB5"/>
    <w:rsid w:val="00B776B5"/>
    <w:rsid w:val="00B81516"/>
    <w:rsid w:val="00B86A15"/>
    <w:rsid w:val="00B878CD"/>
    <w:rsid w:val="00B906DD"/>
    <w:rsid w:val="00B949AD"/>
    <w:rsid w:val="00B95813"/>
    <w:rsid w:val="00BA1CD0"/>
    <w:rsid w:val="00BA45A7"/>
    <w:rsid w:val="00BA59E6"/>
    <w:rsid w:val="00BB22BD"/>
    <w:rsid w:val="00BB4C58"/>
    <w:rsid w:val="00BB71CD"/>
    <w:rsid w:val="00BC3386"/>
    <w:rsid w:val="00BC39B0"/>
    <w:rsid w:val="00BC79EB"/>
    <w:rsid w:val="00BC79F2"/>
    <w:rsid w:val="00BD08DB"/>
    <w:rsid w:val="00BD0F04"/>
    <w:rsid w:val="00BD18BE"/>
    <w:rsid w:val="00BD54E4"/>
    <w:rsid w:val="00BD6AFD"/>
    <w:rsid w:val="00BE0764"/>
    <w:rsid w:val="00BE3A12"/>
    <w:rsid w:val="00BF12C9"/>
    <w:rsid w:val="00BF689D"/>
    <w:rsid w:val="00C00B8F"/>
    <w:rsid w:val="00C01C7C"/>
    <w:rsid w:val="00C0294C"/>
    <w:rsid w:val="00C02DD2"/>
    <w:rsid w:val="00C10C47"/>
    <w:rsid w:val="00C11434"/>
    <w:rsid w:val="00C11614"/>
    <w:rsid w:val="00C130DF"/>
    <w:rsid w:val="00C173F6"/>
    <w:rsid w:val="00C4222F"/>
    <w:rsid w:val="00C43146"/>
    <w:rsid w:val="00C46C3F"/>
    <w:rsid w:val="00C51A51"/>
    <w:rsid w:val="00C52FB4"/>
    <w:rsid w:val="00C55B79"/>
    <w:rsid w:val="00C61D00"/>
    <w:rsid w:val="00C6479C"/>
    <w:rsid w:val="00C70F64"/>
    <w:rsid w:val="00C77173"/>
    <w:rsid w:val="00C824D4"/>
    <w:rsid w:val="00C82587"/>
    <w:rsid w:val="00C82E37"/>
    <w:rsid w:val="00C84D3E"/>
    <w:rsid w:val="00C86157"/>
    <w:rsid w:val="00C87AA4"/>
    <w:rsid w:val="00C952F0"/>
    <w:rsid w:val="00C968F6"/>
    <w:rsid w:val="00CA0248"/>
    <w:rsid w:val="00CA609B"/>
    <w:rsid w:val="00CA6D9A"/>
    <w:rsid w:val="00CB2A30"/>
    <w:rsid w:val="00CC3135"/>
    <w:rsid w:val="00CC3EDE"/>
    <w:rsid w:val="00CC638A"/>
    <w:rsid w:val="00CD45B2"/>
    <w:rsid w:val="00CD4858"/>
    <w:rsid w:val="00CD6557"/>
    <w:rsid w:val="00CD677E"/>
    <w:rsid w:val="00CD7ACA"/>
    <w:rsid w:val="00CE277B"/>
    <w:rsid w:val="00CE5F9A"/>
    <w:rsid w:val="00CE6E71"/>
    <w:rsid w:val="00CF094E"/>
    <w:rsid w:val="00CF1714"/>
    <w:rsid w:val="00CF2AC2"/>
    <w:rsid w:val="00CF30F2"/>
    <w:rsid w:val="00CF4F36"/>
    <w:rsid w:val="00CF6A63"/>
    <w:rsid w:val="00D01589"/>
    <w:rsid w:val="00D0207F"/>
    <w:rsid w:val="00D0239C"/>
    <w:rsid w:val="00D045C2"/>
    <w:rsid w:val="00D0540B"/>
    <w:rsid w:val="00D07B55"/>
    <w:rsid w:val="00D1104D"/>
    <w:rsid w:val="00D12EC1"/>
    <w:rsid w:val="00D233CD"/>
    <w:rsid w:val="00D24B32"/>
    <w:rsid w:val="00D24FCE"/>
    <w:rsid w:val="00D26290"/>
    <w:rsid w:val="00D26703"/>
    <w:rsid w:val="00D358BE"/>
    <w:rsid w:val="00D37383"/>
    <w:rsid w:val="00D43957"/>
    <w:rsid w:val="00D57C23"/>
    <w:rsid w:val="00D602AA"/>
    <w:rsid w:val="00D63113"/>
    <w:rsid w:val="00D632FF"/>
    <w:rsid w:val="00D63CF9"/>
    <w:rsid w:val="00D64F21"/>
    <w:rsid w:val="00D6596A"/>
    <w:rsid w:val="00D66D39"/>
    <w:rsid w:val="00D70D0D"/>
    <w:rsid w:val="00D710F2"/>
    <w:rsid w:val="00D72D63"/>
    <w:rsid w:val="00D77814"/>
    <w:rsid w:val="00D80EA2"/>
    <w:rsid w:val="00D81C22"/>
    <w:rsid w:val="00D84F76"/>
    <w:rsid w:val="00D85AE8"/>
    <w:rsid w:val="00D905C8"/>
    <w:rsid w:val="00D91A72"/>
    <w:rsid w:val="00D924B2"/>
    <w:rsid w:val="00DA190F"/>
    <w:rsid w:val="00DA2AC8"/>
    <w:rsid w:val="00DA3C62"/>
    <w:rsid w:val="00DA3E75"/>
    <w:rsid w:val="00DA4C64"/>
    <w:rsid w:val="00DA64C0"/>
    <w:rsid w:val="00DB721E"/>
    <w:rsid w:val="00DC0AD3"/>
    <w:rsid w:val="00DC4D0B"/>
    <w:rsid w:val="00DC6455"/>
    <w:rsid w:val="00DC687C"/>
    <w:rsid w:val="00DD08B2"/>
    <w:rsid w:val="00DD1B34"/>
    <w:rsid w:val="00DD4DD9"/>
    <w:rsid w:val="00DE5B93"/>
    <w:rsid w:val="00DF0269"/>
    <w:rsid w:val="00DF12E0"/>
    <w:rsid w:val="00DF1836"/>
    <w:rsid w:val="00DF2C60"/>
    <w:rsid w:val="00DF5D05"/>
    <w:rsid w:val="00DF6267"/>
    <w:rsid w:val="00DF7731"/>
    <w:rsid w:val="00E035BC"/>
    <w:rsid w:val="00E050E4"/>
    <w:rsid w:val="00E06CAC"/>
    <w:rsid w:val="00E21086"/>
    <w:rsid w:val="00E217B5"/>
    <w:rsid w:val="00E23FBB"/>
    <w:rsid w:val="00E30239"/>
    <w:rsid w:val="00E31B01"/>
    <w:rsid w:val="00E348CF"/>
    <w:rsid w:val="00E36574"/>
    <w:rsid w:val="00E369F5"/>
    <w:rsid w:val="00E370F4"/>
    <w:rsid w:val="00E40020"/>
    <w:rsid w:val="00E40E93"/>
    <w:rsid w:val="00E51D24"/>
    <w:rsid w:val="00E57F6C"/>
    <w:rsid w:val="00E6026D"/>
    <w:rsid w:val="00E64E0C"/>
    <w:rsid w:val="00E73E7E"/>
    <w:rsid w:val="00E76F15"/>
    <w:rsid w:val="00E83D34"/>
    <w:rsid w:val="00E92F00"/>
    <w:rsid w:val="00E95B39"/>
    <w:rsid w:val="00E9648A"/>
    <w:rsid w:val="00E9733F"/>
    <w:rsid w:val="00EA345C"/>
    <w:rsid w:val="00EA6966"/>
    <w:rsid w:val="00EB15E8"/>
    <w:rsid w:val="00EB7867"/>
    <w:rsid w:val="00EC0E0B"/>
    <w:rsid w:val="00ED5522"/>
    <w:rsid w:val="00ED5DF7"/>
    <w:rsid w:val="00EE2108"/>
    <w:rsid w:val="00EE48D3"/>
    <w:rsid w:val="00EE5587"/>
    <w:rsid w:val="00EE6601"/>
    <w:rsid w:val="00EE6FE9"/>
    <w:rsid w:val="00EE7E46"/>
    <w:rsid w:val="00EF6397"/>
    <w:rsid w:val="00EF6975"/>
    <w:rsid w:val="00F005CF"/>
    <w:rsid w:val="00F009DD"/>
    <w:rsid w:val="00F05A6F"/>
    <w:rsid w:val="00F10D15"/>
    <w:rsid w:val="00F12744"/>
    <w:rsid w:val="00F154F8"/>
    <w:rsid w:val="00F22799"/>
    <w:rsid w:val="00F24E2C"/>
    <w:rsid w:val="00F3025D"/>
    <w:rsid w:val="00F36B79"/>
    <w:rsid w:val="00F36DD7"/>
    <w:rsid w:val="00F40668"/>
    <w:rsid w:val="00F411F9"/>
    <w:rsid w:val="00F503F3"/>
    <w:rsid w:val="00F5116D"/>
    <w:rsid w:val="00F5480A"/>
    <w:rsid w:val="00F56C9A"/>
    <w:rsid w:val="00F56CCC"/>
    <w:rsid w:val="00F605B7"/>
    <w:rsid w:val="00F612C3"/>
    <w:rsid w:val="00F65601"/>
    <w:rsid w:val="00F66146"/>
    <w:rsid w:val="00F66599"/>
    <w:rsid w:val="00F7252D"/>
    <w:rsid w:val="00F76F9E"/>
    <w:rsid w:val="00F80BE6"/>
    <w:rsid w:val="00F872A6"/>
    <w:rsid w:val="00F91164"/>
    <w:rsid w:val="00F9561E"/>
    <w:rsid w:val="00F97BAA"/>
    <w:rsid w:val="00FA054F"/>
    <w:rsid w:val="00FA0C2A"/>
    <w:rsid w:val="00FA2177"/>
    <w:rsid w:val="00FA21C8"/>
    <w:rsid w:val="00FA2A02"/>
    <w:rsid w:val="00FA39AA"/>
    <w:rsid w:val="00FB22E6"/>
    <w:rsid w:val="00FB2DF0"/>
    <w:rsid w:val="00FB72EF"/>
    <w:rsid w:val="00FC156F"/>
    <w:rsid w:val="00FC1774"/>
    <w:rsid w:val="00FC2F8A"/>
    <w:rsid w:val="00FC3157"/>
    <w:rsid w:val="00FC42AC"/>
    <w:rsid w:val="00FC5D52"/>
    <w:rsid w:val="00FD1CB1"/>
    <w:rsid w:val="00FD3186"/>
    <w:rsid w:val="00FD4190"/>
    <w:rsid w:val="00FD5637"/>
    <w:rsid w:val="00FD740D"/>
    <w:rsid w:val="00FD75D5"/>
    <w:rsid w:val="00FE0AC4"/>
    <w:rsid w:val="00FE4039"/>
    <w:rsid w:val="00FE45DC"/>
    <w:rsid w:val="00FE6AF6"/>
    <w:rsid w:val="00FE761C"/>
    <w:rsid w:val="00FF0C5A"/>
    <w:rsid w:val="00FF1A25"/>
    <w:rsid w:val="00FF36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7B3E"/>
  <w15:chartTrackingRefBased/>
  <w15:docId w15:val="{6E74D293-1F92-43A1-A40C-968F804E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3386"/>
    <w:rPr>
      <w:kern w:val="0"/>
      <w14:ligatures w14:val="none"/>
    </w:rPr>
  </w:style>
  <w:style w:type="paragraph" w:styleId="Nadpis1">
    <w:name w:val="heading 1"/>
    <w:basedOn w:val="Normlny"/>
    <w:next w:val="Normlny"/>
    <w:link w:val="Nadpis1Char"/>
    <w:uiPriority w:val="9"/>
    <w:qFormat/>
    <w:rsid w:val="003B7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B7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B71C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B71C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B71C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B71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71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71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71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71C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B71C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B71C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B71C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B71C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B71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71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71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71C9"/>
    <w:rPr>
      <w:rFonts w:eastAsiaTheme="majorEastAsia" w:cstheme="majorBidi"/>
      <w:color w:val="272727" w:themeColor="text1" w:themeTint="D8"/>
    </w:rPr>
  </w:style>
  <w:style w:type="paragraph" w:styleId="Nzov">
    <w:name w:val="Title"/>
    <w:basedOn w:val="Normlny"/>
    <w:next w:val="Normlny"/>
    <w:link w:val="NzovChar"/>
    <w:uiPriority w:val="10"/>
    <w:qFormat/>
    <w:rsid w:val="003B7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71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71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71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71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71C9"/>
    <w:rPr>
      <w:i/>
      <w:iCs/>
      <w:color w:val="404040" w:themeColor="text1" w:themeTint="BF"/>
    </w:rPr>
  </w:style>
  <w:style w:type="paragraph" w:styleId="Odsekzoznamu">
    <w:name w:val="List Paragraph"/>
    <w:aliases w:val="ERP-List Paragraph,List Paragraph11,Bullet EY,List Paragraph1,References"/>
    <w:basedOn w:val="Normlny"/>
    <w:link w:val="OdsekzoznamuChar"/>
    <w:uiPriority w:val="34"/>
    <w:qFormat/>
    <w:rsid w:val="003B71C9"/>
    <w:pPr>
      <w:ind w:left="720"/>
      <w:contextualSpacing/>
    </w:pPr>
  </w:style>
  <w:style w:type="character" w:styleId="Intenzvnezvraznenie">
    <w:name w:val="Intense Emphasis"/>
    <w:basedOn w:val="Predvolenpsmoodseku"/>
    <w:uiPriority w:val="21"/>
    <w:qFormat/>
    <w:rsid w:val="003B71C9"/>
    <w:rPr>
      <w:i/>
      <w:iCs/>
      <w:color w:val="0F4761" w:themeColor="accent1" w:themeShade="BF"/>
    </w:rPr>
  </w:style>
  <w:style w:type="paragraph" w:styleId="Zvraznencitcia">
    <w:name w:val="Intense Quote"/>
    <w:basedOn w:val="Normlny"/>
    <w:next w:val="Normlny"/>
    <w:link w:val="ZvraznencitciaChar"/>
    <w:uiPriority w:val="30"/>
    <w:qFormat/>
    <w:rsid w:val="003B7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B71C9"/>
    <w:rPr>
      <w:i/>
      <w:iCs/>
      <w:color w:val="0F4761" w:themeColor="accent1" w:themeShade="BF"/>
    </w:rPr>
  </w:style>
  <w:style w:type="character" w:styleId="Zvraznenodkaz">
    <w:name w:val="Intense Reference"/>
    <w:basedOn w:val="Predvolenpsmoodseku"/>
    <w:uiPriority w:val="32"/>
    <w:qFormat/>
    <w:rsid w:val="003B71C9"/>
    <w:rPr>
      <w:b/>
      <w:bCs/>
      <w:smallCaps/>
      <w:color w:val="0F4761" w:themeColor="accent1" w:themeShade="BF"/>
      <w:spacing w:val="5"/>
    </w:rPr>
  </w:style>
  <w:style w:type="table" w:styleId="Mriekatabuky">
    <w:name w:val="Table Grid"/>
    <w:basedOn w:val="Normlnatabuka"/>
    <w:uiPriority w:val="39"/>
    <w:rsid w:val="009278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72B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72B84"/>
    <w:rPr>
      <w:kern w:val="0"/>
      <w:sz w:val="20"/>
      <w:szCs w:val="20"/>
      <w14:ligatures w14:val="none"/>
    </w:rPr>
  </w:style>
  <w:style w:type="character" w:styleId="Odkaznapoznmkupodiarou">
    <w:name w:val="footnote reference"/>
    <w:basedOn w:val="Predvolenpsmoodseku"/>
    <w:uiPriority w:val="99"/>
    <w:semiHidden/>
    <w:unhideWhenUsed/>
    <w:rsid w:val="00172B84"/>
    <w:rPr>
      <w:vertAlign w:val="superscript"/>
    </w:rPr>
  </w:style>
  <w:style w:type="character" w:styleId="Hypertextovprepojenie">
    <w:name w:val="Hyperlink"/>
    <w:basedOn w:val="Predvolenpsmoodseku"/>
    <w:uiPriority w:val="99"/>
    <w:unhideWhenUsed/>
    <w:rsid w:val="00172B84"/>
    <w:rPr>
      <w:color w:val="467886" w:themeColor="hyperlink"/>
      <w:u w:val="single"/>
    </w:rPr>
  </w:style>
  <w:style w:type="character" w:styleId="Nevyrieenzmienka">
    <w:name w:val="Unresolved Mention"/>
    <w:basedOn w:val="Predvolenpsmoodseku"/>
    <w:uiPriority w:val="99"/>
    <w:semiHidden/>
    <w:unhideWhenUsed/>
    <w:rsid w:val="00172B84"/>
    <w:rPr>
      <w:color w:val="605E5C"/>
      <w:shd w:val="clear" w:color="auto" w:fill="E1DFDD"/>
    </w:rPr>
  </w:style>
  <w:style w:type="character" w:customStyle="1" w:styleId="OdsekzoznamuChar">
    <w:name w:val="Odsek zoznamu Char"/>
    <w:aliases w:val="ERP-List Paragraph Char,List Paragraph11 Char,Bullet EY Char,List Paragraph1 Char,References Char"/>
    <w:basedOn w:val="Predvolenpsmoodseku"/>
    <w:link w:val="Odsekzoznamu"/>
    <w:uiPriority w:val="34"/>
    <w:locked/>
    <w:rsid w:val="00CF4F36"/>
    <w:rPr>
      <w:kern w:val="0"/>
      <w14:ligatures w14:val="none"/>
    </w:rPr>
  </w:style>
  <w:style w:type="paragraph" w:styleId="Popis">
    <w:name w:val="caption"/>
    <w:basedOn w:val="Normlny"/>
    <w:next w:val="Normlny"/>
    <w:uiPriority w:val="35"/>
    <w:unhideWhenUsed/>
    <w:qFormat/>
    <w:rsid w:val="003654EE"/>
    <w:pPr>
      <w:spacing w:after="200" w:line="240" w:lineRule="auto"/>
    </w:pPr>
    <w:rPr>
      <w:i/>
      <w:iCs/>
      <w:color w:val="0E2841" w:themeColor="text2"/>
      <w:sz w:val="18"/>
      <w:szCs w:val="18"/>
    </w:rPr>
  </w:style>
  <w:style w:type="paragraph" w:styleId="Hlavika">
    <w:name w:val="header"/>
    <w:basedOn w:val="Normlny"/>
    <w:link w:val="HlavikaChar"/>
    <w:uiPriority w:val="99"/>
    <w:unhideWhenUsed/>
    <w:rsid w:val="005348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48E5"/>
    <w:rPr>
      <w:kern w:val="0"/>
      <w14:ligatures w14:val="none"/>
    </w:rPr>
  </w:style>
  <w:style w:type="paragraph" w:styleId="Pta">
    <w:name w:val="footer"/>
    <w:basedOn w:val="Normlny"/>
    <w:link w:val="PtaChar"/>
    <w:uiPriority w:val="99"/>
    <w:unhideWhenUsed/>
    <w:rsid w:val="005348E5"/>
    <w:pPr>
      <w:tabs>
        <w:tab w:val="center" w:pos="4536"/>
        <w:tab w:val="right" w:pos="9072"/>
      </w:tabs>
      <w:spacing w:after="0" w:line="240" w:lineRule="auto"/>
    </w:pPr>
  </w:style>
  <w:style w:type="character" w:customStyle="1" w:styleId="PtaChar">
    <w:name w:val="Päta Char"/>
    <w:basedOn w:val="Predvolenpsmoodseku"/>
    <w:link w:val="Pta"/>
    <w:uiPriority w:val="99"/>
    <w:rsid w:val="005348E5"/>
    <w:rPr>
      <w:kern w:val="0"/>
      <w14:ligatures w14:val="none"/>
    </w:rPr>
  </w:style>
  <w:style w:type="character" w:customStyle="1" w:styleId="normaltextrun">
    <w:name w:val="normaltextrun"/>
    <w:basedOn w:val="Predvolenpsmoodseku"/>
    <w:rsid w:val="006740EB"/>
  </w:style>
  <w:style w:type="character" w:customStyle="1" w:styleId="spellingerror">
    <w:name w:val="spellingerror"/>
    <w:basedOn w:val="Predvolenpsmoodseku"/>
    <w:rsid w:val="006740EB"/>
  </w:style>
  <w:style w:type="character" w:customStyle="1" w:styleId="eop">
    <w:name w:val="eop"/>
    <w:basedOn w:val="Predvolenpsmoodseku"/>
    <w:rsid w:val="00C77173"/>
  </w:style>
  <w:style w:type="paragraph" w:customStyle="1" w:styleId="paragraph">
    <w:name w:val="paragraph"/>
    <w:basedOn w:val="Normlny"/>
    <w:rsid w:val="00C7717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FD740D"/>
    <w:pPr>
      <w:spacing w:before="240" w:after="0"/>
      <w:outlineLvl w:val="9"/>
    </w:pPr>
    <w:rPr>
      <w:sz w:val="32"/>
      <w:szCs w:val="32"/>
      <w:lang w:eastAsia="sk-SK"/>
    </w:rPr>
  </w:style>
  <w:style w:type="paragraph" w:styleId="Obsah1">
    <w:name w:val="toc 1"/>
    <w:basedOn w:val="Normlny"/>
    <w:next w:val="Normlny"/>
    <w:autoRedefine/>
    <w:uiPriority w:val="39"/>
    <w:unhideWhenUsed/>
    <w:rsid w:val="00FD740D"/>
    <w:pPr>
      <w:spacing w:after="100"/>
    </w:pPr>
  </w:style>
  <w:style w:type="paragraph" w:styleId="Obsah2">
    <w:name w:val="toc 2"/>
    <w:basedOn w:val="Normlny"/>
    <w:next w:val="Normlny"/>
    <w:autoRedefine/>
    <w:uiPriority w:val="39"/>
    <w:unhideWhenUsed/>
    <w:rsid w:val="00FD740D"/>
    <w:pPr>
      <w:spacing w:after="100"/>
      <w:ind w:left="220"/>
    </w:pPr>
  </w:style>
  <w:style w:type="paragraph" w:styleId="Zoznamobrzkov">
    <w:name w:val="table of figures"/>
    <w:basedOn w:val="Normlny"/>
    <w:next w:val="Normlny"/>
    <w:uiPriority w:val="99"/>
    <w:unhideWhenUsed/>
    <w:rsid w:val="008235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828">
      <w:bodyDiv w:val="1"/>
      <w:marLeft w:val="0"/>
      <w:marRight w:val="0"/>
      <w:marTop w:val="0"/>
      <w:marBottom w:val="0"/>
      <w:divBdr>
        <w:top w:val="none" w:sz="0" w:space="0" w:color="auto"/>
        <w:left w:val="none" w:sz="0" w:space="0" w:color="auto"/>
        <w:bottom w:val="none" w:sz="0" w:space="0" w:color="auto"/>
        <w:right w:val="none" w:sz="0" w:space="0" w:color="auto"/>
      </w:divBdr>
    </w:div>
    <w:div w:id="58327559">
      <w:bodyDiv w:val="1"/>
      <w:marLeft w:val="0"/>
      <w:marRight w:val="0"/>
      <w:marTop w:val="0"/>
      <w:marBottom w:val="0"/>
      <w:divBdr>
        <w:top w:val="none" w:sz="0" w:space="0" w:color="auto"/>
        <w:left w:val="none" w:sz="0" w:space="0" w:color="auto"/>
        <w:bottom w:val="none" w:sz="0" w:space="0" w:color="auto"/>
        <w:right w:val="none" w:sz="0" w:space="0" w:color="auto"/>
      </w:divBdr>
    </w:div>
    <w:div w:id="75329257">
      <w:bodyDiv w:val="1"/>
      <w:marLeft w:val="0"/>
      <w:marRight w:val="0"/>
      <w:marTop w:val="0"/>
      <w:marBottom w:val="0"/>
      <w:divBdr>
        <w:top w:val="none" w:sz="0" w:space="0" w:color="auto"/>
        <w:left w:val="none" w:sz="0" w:space="0" w:color="auto"/>
        <w:bottom w:val="none" w:sz="0" w:space="0" w:color="auto"/>
        <w:right w:val="none" w:sz="0" w:space="0" w:color="auto"/>
      </w:divBdr>
    </w:div>
    <w:div w:id="83693204">
      <w:bodyDiv w:val="1"/>
      <w:marLeft w:val="0"/>
      <w:marRight w:val="0"/>
      <w:marTop w:val="0"/>
      <w:marBottom w:val="0"/>
      <w:divBdr>
        <w:top w:val="none" w:sz="0" w:space="0" w:color="auto"/>
        <w:left w:val="none" w:sz="0" w:space="0" w:color="auto"/>
        <w:bottom w:val="none" w:sz="0" w:space="0" w:color="auto"/>
        <w:right w:val="none" w:sz="0" w:space="0" w:color="auto"/>
      </w:divBdr>
    </w:div>
    <w:div w:id="104229966">
      <w:bodyDiv w:val="1"/>
      <w:marLeft w:val="0"/>
      <w:marRight w:val="0"/>
      <w:marTop w:val="0"/>
      <w:marBottom w:val="0"/>
      <w:divBdr>
        <w:top w:val="none" w:sz="0" w:space="0" w:color="auto"/>
        <w:left w:val="none" w:sz="0" w:space="0" w:color="auto"/>
        <w:bottom w:val="none" w:sz="0" w:space="0" w:color="auto"/>
        <w:right w:val="none" w:sz="0" w:space="0" w:color="auto"/>
      </w:divBdr>
    </w:div>
    <w:div w:id="120614825">
      <w:bodyDiv w:val="1"/>
      <w:marLeft w:val="0"/>
      <w:marRight w:val="0"/>
      <w:marTop w:val="0"/>
      <w:marBottom w:val="0"/>
      <w:divBdr>
        <w:top w:val="none" w:sz="0" w:space="0" w:color="auto"/>
        <w:left w:val="none" w:sz="0" w:space="0" w:color="auto"/>
        <w:bottom w:val="none" w:sz="0" w:space="0" w:color="auto"/>
        <w:right w:val="none" w:sz="0" w:space="0" w:color="auto"/>
      </w:divBdr>
    </w:div>
    <w:div w:id="140315865">
      <w:bodyDiv w:val="1"/>
      <w:marLeft w:val="0"/>
      <w:marRight w:val="0"/>
      <w:marTop w:val="0"/>
      <w:marBottom w:val="0"/>
      <w:divBdr>
        <w:top w:val="none" w:sz="0" w:space="0" w:color="auto"/>
        <w:left w:val="none" w:sz="0" w:space="0" w:color="auto"/>
        <w:bottom w:val="none" w:sz="0" w:space="0" w:color="auto"/>
        <w:right w:val="none" w:sz="0" w:space="0" w:color="auto"/>
      </w:divBdr>
    </w:div>
    <w:div w:id="181670766">
      <w:bodyDiv w:val="1"/>
      <w:marLeft w:val="0"/>
      <w:marRight w:val="0"/>
      <w:marTop w:val="0"/>
      <w:marBottom w:val="0"/>
      <w:divBdr>
        <w:top w:val="none" w:sz="0" w:space="0" w:color="auto"/>
        <w:left w:val="none" w:sz="0" w:space="0" w:color="auto"/>
        <w:bottom w:val="none" w:sz="0" w:space="0" w:color="auto"/>
        <w:right w:val="none" w:sz="0" w:space="0" w:color="auto"/>
      </w:divBdr>
    </w:div>
    <w:div w:id="223762964">
      <w:bodyDiv w:val="1"/>
      <w:marLeft w:val="0"/>
      <w:marRight w:val="0"/>
      <w:marTop w:val="0"/>
      <w:marBottom w:val="0"/>
      <w:divBdr>
        <w:top w:val="none" w:sz="0" w:space="0" w:color="auto"/>
        <w:left w:val="none" w:sz="0" w:space="0" w:color="auto"/>
        <w:bottom w:val="none" w:sz="0" w:space="0" w:color="auto"/>
        <w:right w:val="none" w:sz="0" w:space="0" w:color="auto"/>
      </w:divBdr>
    </w:div>
    <w:div w:id="226065257">
      <w:bodyDiv w:val="1"/>
      <w:marLeft w:val="0"/>
      <w:marRight w:val="0"/>
      <w:marTop w:val="0"/>
      <w:marBottom w:val="0"/>
      <w:divBdr>
        <w:top w:val="none" w:sz="0" w:space="0" w:color="auto"/>
        <w:left w:val="none" w:sz="0" w:space="0" w:color="auto"/>
        <w:bottom w:val="none" w:sz="0" w:space="0" w:color="auto"/>
        <w:right w:val="none" w:sz="0" w:space="0" w:color="auto"/>
      </w:divBdr>
    </w:div>
    <w:div w:id="272254091">
      <w:bodyDiv w:val="1"/>
      <w:marLeft w:val="0"/>
      <w:marRight w:val="0"/>
      <w:marTop w:val="0"/>
      <w:marBottom w:val="0"/>
      <w:divBdr>
        <w:top w:val="none" w:sz="0" w:space="0" w:color="auto"/>
        <w:left w:val="none" w:sz="0" w:space="0" w:color="auto"/>
        <w:bottom w:val="none" w:sz="0" w:space="0" w:color="auto"/>
        <w:right w:val="none" w:sz="0" w:space="0" w:color="auto"/>
      </w:divBdr>
    </w:div>
    <w:div w:id="305932681">
      <w:bodyDiv w:val="1"/>
      <w:marLeft w:val="0"/>
      <w:marRight w:val="0"/>
      <w:marTop w:val="0"/>
      <w:marBottom w:val="0"/>
      <w:divBdr>
        <w:top w:val="none" w:sz="0" w:space="0" w:color="auto"/>
        <w:left w:val="none" w:sz="0" w:space="0" w:color="auto"/>
        <w:bottom w:val="none" w:sz="0" w:space="0" w:color="auto"/>
        <w:right w:val="none" w:sz="0" w:space="0" w:color="auto"/>
      </w:divBdr>
    </w:div>
    <w:div w:id="341660978">
      <w:bodyDiv w:val="1"/>
      <w:marLeft w:val="0"/>
      <w:marRight w:val="0"/>
      <w:marTop w:val="0"/>
      <w:marBottom w:val="0"/>
      <w:divBdr>
        <w:top w:val="none" w:sz="0" w:space="0" w:color="auto"/>
        <w:left w:val="none" w:sz="0" w:space="0" w:color="auto"/>
        <w:bottom w:val="none" w:sz="0" w:space="0" w:color="auto"/>
        <w:right w:val="none" w:sz="0" w:space="0" w:color="auto"/>
      </w:divBdr>
    </w:div>
    <w:div w:id="351346391">
      <w:bodyDiv w:val="1"/>
      <w:marLeft w:val="0"/>
      <w:marRight w:val="0"/>
      <w:marTop w:val="0"/>
      <w:marBottom w:val="0"/>
      <w:divBdr>
        <w:top w:val="none" w:sz="0" w:space="0" w:color="auto"/>
        <w:left w:val="none" w:sz="0" w:space="0" w:color="auto"/>
        <w:bottom w:val="none" w:sz="0" w:space="0" w:color="auto"/>
        <w:right w:val="none" w:sz="0" w:space="0" w:color="auto"/>
      </w:divBdr>
    </w:div>
    <w:div w:id="354962967">
      <w:bodyDiv w:val="1"/>
      <w:marLeft w:val="0"/>
      <w:marRight w:val="0"/>
      <w:marTop w:val="0"/>
      <w:marBottom w:val="0"/>
      <w:divBdr>
        <w:top w:val="none" w:sz="0" w:space="0" w:color="auto"/>
        <w:left w:val="none" w:sz="0" w:space="0" w:color="auto"/>
        <w:bottom w:val="none" w:sz="0" w:space="0" w:color="auto"/>
        <w:right w:val="none" w:sz="0" w:space="0" w:color="auto"/>
      </w:divBdr>
    </w:div>
    <w:div w:id="381288578">
      <w:bodyDiv w:val="1"/>
      <w:marLeft w:val="0"/>
      <w:marRight w:val="0"/>
      <w:marTop w:val="0"/>
      <w:marBottom w:val="0"/>
      <w:divBdr>
        <w:top w:val="none" w:sz="0" w:space="0" w:color="auto"/>
        <w:left w:val="none" w:sz="0" w:space="0" w:color="auto"/>
        <w:bottom w:val="none" w:sz="0" w:space="0" w:color="auto"/>
        <w:right w:val="none" w:sz="0" w:space="0" w:color="auto"/>
      </w:divBdr>
    </w:div>
    <w:div w:id="413473674">
      <w:bodyDiv w:val="1"/>
      <w:marLeft w:val="0"/>
      <w:marRight w:val="0"/>
      <w:marTop w:val="0"/>
      <w:marBottom w:val="0"/>
      <w:divBdr>
        <w:top w:val="none" w:sz="0" w:space="0" w:color="auto"/>
        <w:left w:val="none" w:sz="0" w:space="0" w:color="auto"/>
        <w:bottom w:val="none" w:sz="0" w:space="0" w:color="auto"/>
        <w:right w:val="none" w:sz="0" w:space="0" w:color="auto"/>
      </w:divBdr>
    </w:div>
    <w:div w:id="417333551">
      <w:bodyDiv w:val="1"/>
      <w:marLeft w:val="0"/>
      <w:marRight w:val="0"/>
      <w:marTop w:val="0"/>
      <w:marBottom w:val="0"/>
      <w:divBdr>
        <w:top w:val="none" w:sz="0" w:space="0" w:color="auto"/>
        <w:left w:val="none" w:sz="0" w:space="0" w:color="auto"/>
        <w:bottom w:val="none" w:sz="0" w:space="0" w:color="auto"/>
        <w:right w:val="none" w:sz="0" w:space="0" w:color="auto"/>
      </w:divBdr>
    </w:div>
    <w:div w:id="448083506">
      <w:bodyDiv w:val="1"/>
      <w:marLeft w:val="0"/>
      <w:marRight w:val="0"/>
      <w:marTop w:val="0"/>
      <w:marBottom w:val="0"/>
      <w:divBdr>
        <w:top w:val="none" w:sz="0" w:space="0" w:color="auto"/>
        <w:left w:val="none" w:sz="0" w:space="0" w:color="auto"/>
        <w:bottom w:val="none" w:sz="0" w:space="0" w:color="auto"/>
        <w:right w:val="none" w:sz="0" w:space="0" w:color="auto"/>
      </w:divBdr>
    </w:div>
    <w:div w:id="479074458">
      <w:bodyDiv w:val="1"/>
      <w:marLeft w:val="0"/>
      <w:marRight w:val="0"/>
      <w:marTop w:val="0"/>
      <w:marBottom w:val="0"/>
      <w:divBdr>
        <w:top w:val="none" w:sz="0" w:space="0" w:color="auto"/>
        <w:left w:val="none" w:sz="0" w:space="0" w:color="auto"/>
        <w:bottom w:val="none" w:sz="0" w:space="0" w:color="auto"/>
        <w:right w:val="none" w:sz="0" w:space="0" w:color="auto"/>
      </w:divBdr>
    </w:div>
    <w:div w:id="507865269">
      <w:bodyDiv w:val="1"/>
      <w:marLeft w:val="0"/>
      <w:marRight w:val="0"/>
      <w:marTop w:val="0"/>
      <w:marBottom w:val="0"/>
      <w:divBdr>
        <w:top w:val="none" w:sz="0" w:space="0" w:color="auto"/>
        <w:left w:val="none" w:sz="0" w:space="0" w:color="auto"/>
        <w:bottom w:val="none" w:sz="0" w:space="0" w:color="auto"/>
        <w:right w:val="none" w:sz="0" w:space="0" w:color="auto"/>
      </w:divBdr>
    </w:div>
    <w:div w:id="528417502">
      <w:bodyDiv w:val="1"/>
      <w:marLeft w:val="0"/>
      <w:marRight w:val="0"/>
      <w:marTop w:val="0"/>
      <w:marBottom w:val="0"/>
      <w:divBdr>
        <w:top w:val="none" w:sz="0" w:space="0" w:color="auto"/>
        <w:left w:val="none" w:sz="0" w:space="0" w:color="auto"/>
        <w:bottom w:val="none" w:sz="0" w:space="0" w:color="auto"/>
        <w:right w:val="none" w:sz="0" w:space="0" w:color="auto"/>
      </w:divBdr>
    </w:div>
    <w:div w:id="566964549">
      <w:bodyDiv w:val="1"/>
      <w:marLeft w:val="0"/>
      <w:marRight w:val="0"/>
      <w:marTop w:val="0"/>
      <w:marBottom w:val="0"/>
      <w:divBdr>
        <w:top w:val="none" w:sz="0" w:space="0" w:color="auto"/>
        <w:left w:val="none" w:sz="0" w:space="0" w:color="auto"/>
        <w:bottom w:val="none" w:sz="0" w:space="0" w:color="auto"/>
        <w:right w:val="none" w:sz="0" w:space="0" w:color="auto"/>
      </w:divBdr>
    </w:div>
    <w:div w:id="587034487">
      <w:bodyDiv w:val="1"/>
      <w:marLeft w:val="0"/>
      <w:marRight w:val="0"/>
      <w:marTop w:val="0"/>
      <w:marBottom w:val="0"/>
      <w:divBdr>
        <w:top w:val="none" w:sz="0" w:space="0" w:color="auto"/>
        <w:left w:val="none" w:sz="0" w:space="0" w:color="auto"/>
        <w:bottom w:val="none" w:sz="0" w:space="0" w:color="auto"/>
        <w:right w:val="none" w:sz="0" w:space="0" w:color="auto"/>
      </w:divBdr>
    </w:div>
    <w:div w:id="601305054">
      <w:bodyDiv w:val="1"/>
      <w:marLeft w:val="0"/>
      <w:marRight w:val="0"/>
      <w:marTop w:val="0"/>
      <w:marBottom w:val="0"/>
      <w:divBdr>
        <w:top w:val="none" w:sz="0" w:space="0" w:color="auto"/>
        <w:left w:val="none" w:sz="0" w:space="0" w:color="auto"/>
        <w:bottom w:val="none" w:sz="0" w:space="0" w:color="auto"/>
        <w:right w:val="none" w:sz="0" w:space="0" w:color="auto"/>
      </w:divBdr>
    </w:div>
    <w:div w:id="673655455">
      <w:bodyDiv w:val="1"/>
      <w:marLeft w:val="0"/>
      <w:marRight w:val="0"/>
      <w:marTop w:val="0"/>
      <w:marBottom w:val="0"/>
      <w:divBdr>
        <w:top w:val="none" w:sz="0" w:space="0" w:color="auto"/>
        <w:left w:val="none" w:sz="0" w:space="0" w:color="auto"/>
        <w:bottom w:val="none" w:sz="0" w:space="0" w:color="auto"/>
        <w:right w:val="none" w:sz="0" w:space="0" w:color="auto"/>
      </w:divBdr>
    </w:div>
    <w:div w:id="676076441">
      <w:bodyDiv w:val="1"/>
      <w:marLeft w:val="0"/>
      <w:marRight w:val="0"/>
      <w:marTop w:val="0"/>
      <w:marBottom w:val="0"/>
      <w:divBdr>
        <w:top w:val="none" w:sz="0" w:space="0" w:color="auto"/>
        <w:left w:val="none" w:sz="0" w:space="0" w:color="auto"/>
        <w:bottom w:val="none" w:sz="0" w:space="0" w:color="auto"/>
        <w:right w:val="none" w:sz="0" w:space="0" w:color="auto"/>
      </w:divBdr>
    </w:div>
    <w:div w:id="678045136">
      <w:bodyDiv w:val="1"/>
      <w:marLeft w:val="0"/>
      <w:marRight w:val="0"/>
      <w:marTop w:val="0"/>
      <w:marBottom w:val="0"/>
      <w:divBdr>
        <w:top w:val="none" w:sz="0" w:space="0" w:color="auto"/>
        <w:left w:val="none" w:sz="0" w:space="0" w:color="auto"/>
        <w:bottom w:val="none" w:sz="0" w:space="0" w:color="auto"/>
        <w:right w:val="none" w:sz="0" w:space="0" w:color="auto"/>
      </w:divBdr>
    </w:div>
    <w:div w:id="684090698">
      <w:bodyDiv w:val="1"/>
      <w:marLeft w:val="0"/>
      <w:marRight w:val="0"/>
      <w:marTop w:val="0"/>
      <w:marBottom w:val="0"/>
      <w:divBdr>
        <w:top w:val="none" w:sz="0" w:space="0" w:color="auto"/>
        <w:left w:val="none" w:sz="0" w:space="0" w:color="auto"/>
        <w:bottom w:val="none" w:sz="0" w:space="0" w:color="auto"/>
        <w:right w:val="none" w:sz="0" w:space="0" w:color="auto"/>
      </w:divBdr>
      <w:divsChild>
        <w:div w:id="1601643690">
          <w:marLeft w:val="0"/>
          <w:marRight w:val="0"/>
          <w:marTop w:val="0"/>
          <w:marBottom w:val="0"/>
          <w:divBdr>
            <w:top w:val="none" w:sz="0" w:space="0" w:color="auto"/>
            <w:left w:val="none" w:sz="0" w:space="0" w:color="auto"/>
            <w:bottom w:val="none" w:sz="0" w:space="0" w:color="auto"/>
            <w:right w:val="none" w:sz="0" w:space="0" w:color="auto"/>
          </w:divBdr>
        </w:div>
      </w:divsChild>
    </w:div>
    <w:div w:id="699824232">
      <w:bodyDiv w:val="1"/>
      <w:marLeft w:val="0"/>
      <w:marRight w:val="0"/>
      <w:marTop w:val="0"/>
      <w:marBottom w:val="0"/>
      <w:divBdr>
        <w:top w:val="none" w:sz="0" w:space="0" w:color="auto"/>
        <w:left w:val="none" w:sz="0" w:space="0" w:color="auto"/>
        <w:bottom w:val="none" w:sz="0" w:space="0" w:color="auto"/>
        <w:right w:val="none" w:sz="0" w:space="0" w:color="auto"/>
      </w:divBdr>
    </w:div>
    <w:div w:id="704133245">
      <w:bodyDiv w:val="1"/>
      <w:marLeft w:val="0"/>
      <w:marRight w:val="0"/>
      <w:marTop w:val="0"/>
      <w:marBottom w:val="0"/>
      <w:divBdr>
        <w:top w:val="none" w:sz="0" w:space="0" w:color="auto"/>
        <w:left w:val="none" w:sz="0" w:space="0" w:color="auto"/>
        <w:bottom w:val="none" w:sz="0" w:space="0" w:color="auto"/>
        <w:right w:val="none" w:sz="0" w:space="0" w:color="auto"/>
      </w:divBdr>
    </w:div>
    <w:div w:id="735475576">
      <w:bodyDiv w:val="1"/>
      <w:marLeft w:val="0"/>
      <w:marRight w:val="0"/>
      <w:marTop w:val="0"/>
      <w:marBottom w:val="0"/>
      <w:divBdr>
        <w:top w:val="none" w:sz="0" w:space="0" w:color="auto"/>
        <w:left w:val="none" w:sz="0" w:space="0" w:color="auto"/>
        <w:bottom w:val="none" w:sz="0" w:space="0" w:color="auto"/>
        <w:right w:val="none" w:sz="0" w:space="0" w:color="auto"/>
      </w:divBdr>
      <w:divsChild>
        <w:div w:id="1090396580">
          <w:marLeft w:val="0"/>
          <w:marRight w:val="0"/>
          <w:marTop w:val="0"/>
          <w:marBottom w:val="0"/>
          <w:divBdr>
            <w:top w:val="none" w:sz="0" w:space="0" w:color="auto"/>
            <w:left w:val="none" w:sz="0" w:space="0" w:color="auto"/>
            <w:bottom w:val="none" w:sz="0" w:space="0" w:color="auto"/>
            <w:right w:val="none" w:sz="0" w:space="0" w:color="auto"/>
          </w:divBdr>
        </w:div>
      </w:divsChild>
    </w:div>
    <w:div w:id="747922162">
      <w:bodyDiv w:val="1"/>
      <w:marLeft w:val="0"/>
      <w:marRight w:val="0"/>
      <w:marTop w:val="0"/>
      <w:marBottom w:val="0"/>
      <w:divBdr>
        <w:top w:val="none" w:sz="0" w:space="0" w:color="auto"/>
        <w:left w:val="none" w:sz="0" w:space="0" w:color="auto"/>
        <w:bottom w:val="none" w:sz="0" w:space="0" w:color="auto"/>
        <w:right w:val="none" w:sz="0" w:space="0" w:color="auto"/>
      </w:divBdr>
    </w:div>
    <w:div w:id="760568252">
      <w:bodyDiv w:val="1"/>
      <w:marLeft w:val="0"/>
      <w:marRight w:val="0"/>
      <w:marTop w:val="0"/>
      <w:marBottom w:val="0"/>
      <w:divBdr>
        <w:top w:val="none" w:sz="0" w:space="0" w:color="auto"/>
        <w:left w:val="none" w:sz="0" w:space="0" w:color="auto"/>
        <w:bottom w:val="none" w:sz="0" w:space="0" w:color="auto"/>
        <w:right w:val="none" w:sz="0" w:space="0" w:color="auto"/>
      </w:divBdr>
    </w:div>
    <w:div w:id="771585488">
      <w:bodyDiv w:val="1"/>
      <w:marLeft w:val="0"/>
      <w:marRight w:val="0"/>
      <w:marTop w:val="0"/>
      <w:marBottom w:val="0"/>
      <w:divBdr>
        <w:top w:val="none" w:sz="0" w:space="0" w:color="auto"/>
        <w:left w:val="none" w:sz="0" w:space="0" w:color="auto"/>
        <w:bottom w:val="none" w:sz="0" w:space="0" w:color="auto"/>
        <w:right w:val="none" w:sz="0" w:space="0" w:color="auto"/>
      </w:divBdr>
    </w:div>
    <w:div w:id="786310374">
      <w:bodyDiv w:val="1"/>
      <w:marLeft w:val="0"/>
      <w:marRight w:val="0"/>
      <w:marTop w:val="0"/>
      <w:marBottom w:val="0"/>
      <w:divBdr>
        <w:top w:val="none" w:sz="0" w:space="0" w:color="auto"/>
        <w:left w:val="none" w:sz="0" w:space="0" w:color="auto"/>
        <w:bottom w:val="none" w:sz="0" w:space="0" w:color="auto"/>
        <w:right w:val="none" w:sz="0" w:space="0" w:color="auto"/>
      </w:divBdr>
    </w:div>
    <w:div w:id="807867086">
      <w:bodyDiv w:val="1"/>
      <w:marLeft w:val="0"/>
      <w:marRight w:val="0"/>
      <w:marTop w:val="0"/>
      <w:marBottom w:val="0"/>
      <w:divBdr>
        <w:top w:val="none" w:sz="0" w:space="0" w:color="auto"/>
        <w:left w:val="none" w:sz="0" w:space="0" w:color="auto"/>
        <w:bottom w:val="none" w:sz="0" w:space="0" w:color="auto"/>
        <w:right w:val="none" w:sz="0" w:space="0" w:color="auto"/>
      </w:divBdr>
    </w:div>
    <w:div w:id="845175109">
      <w:bodyDiv w:val="1"/>
      <w:marLeft w:val="0"/>
      <w:marRight w:val="0"/>
      <w:marTop w:val="0"/>
      <w:marBottom w:val="0"/>
      <w:divBdr>
        <w:top w:val="none" w:sz="0" w:space="0" w:color="auto"/>
        <w:left w:val="none" w:sz="0" w:space="0" w:color="auto"/>
        <w:bottom w:val="none" w:sz="0" w:space="0" w:color="auto"/>
        <w:right w:val="none" w:sz="0" w:space="0" w:color="auto"/>
      </w:divBdr>
    </w:div>
    <w:div w:id="875847360">
      <w:bodyDiv w:val="1"/>
      <w:marLeft w:val="0"/>
      <w:marRight w:val="0"/>
      <w:marTop w:val="0"/>
      <w:marBottom w:val="0"/>
      <w:divBdr>
        <w:top w:val="none" w:sz="0" w:space="0" w:color="auto"/>
        <w:left w:val="none" w:sz="0" w:space="0" w:color="auto"/>
        <w:bottom w:val="none" w:sz="0" w:space="0" w:color="auto"/>
        <w:right w:val="none" w:sz="0" w:space="0" w:color="auto"/>
      </w:divBdr>
    </w:div>
    <w:div w:id="881291052">
      <w:bodyDiv w:val="1"/>
      <w:marLeft w:val="0"/>
      <w:marRight w:val="0"/>
      <w:marTop w:val="0"/>
      <w:marBottom w:val="0"/>
      <w:divBdr>
        <w:top w:val="none" w:sz="0" w:space="0" w:color="auto"/>
        <w:left w:val="none" w:sz="0" w:space="0" w:color="auto"/>
        <w:bottom w:val="none" w:sz="0" w:space="0" w:color="auto"/>
        <w:right w:val="none" w:sz="0" w:space="0" w:color="auto"/>
      </w:divBdr>
    </w:div>
    <w:div w:id="973675738">
      <w:bodyDiv w:val="1"/>
      <w:marLeft w:val="0"/>
      <w:marRight w:val="0"/>
      <w:marTop w:val="0"/>
      <w:marBottom w:val="0"/>
      <w:divBdr>
        <w:top w:val="none" w:sz="0" w:space="0" w:color="auto"/>
        <w:left w:val="none" w:sz="0" w:space="0" w:color="auto"/>
        <w:bottom w:val="none" w:sz="0" w:space="0" w:color="auto"/>
        <w:right w:val="none" w:sz="0" w:space="0" w:color="auto"/>
      </w:divBdr>
    </w:div>
    <w:div w:id="976106676">
      <w:bodyDiv w:val="1"/>
      <w:marLeft w:val="0"/>
      <w:marRight w:val="0"/>
      <w:marTop w:val="0"/>
      <w:marBottom w:val="0"/>
      <w:divBdr>
        <w:top w:val="none" w:sz="0" w:space="0" w:color="auto"/>
        <w:left w:val="none" w:sz="0" w:space="0" w:color="auto"/>
        <w:bottom w:val="none" w:sz="0" w:space="0" w:color="auto"/>
        <w:right w:val="none" w:sz="0" w:space="0" w:color="auto"/>
      </w:divBdr>
    </w:div>
    <w:div w:id="981085069">
      <w:bodyDiv w:val="1"/>
      <w:marLeft w:val="0"/>
      <w:marRight w:val="0"/>
      <w:marTop w:val="0"/>
      <w:marBottom w:val="0"/>
      <w:divBdr>
        <w:top w:val="none" w:sz="0" w:space="0" w:color="auto"/>
        <w:left w:val="none" w:sz="0" w:space="0" w:color="auto"/>
        <w:bottom w:val="none" w:sz="0" w:space="0" w:color="auto"/>
        <w:right w:val="none" w:sz="0" w:space="0" w:color="auto"/>
      </w:divBdr>
    </w:div>
    <w:div w:id="1006522747">
      <w:bodyDiv w:val="1"/>
      <w:marLeft w:val="0"/>
      <w:marRight w:val="0"/>
      <w:marTop w:val="0"/>
      <w:marBottom w:val="0"/>
      <w:divBdr>
        <w:top w:val="none" w:sz="0" w:space="0" w:color="auto"/>
        <w:left w:val="none" w:sz="0" w:space="0" w:color="auto"/>
        <w:bottom w:val="none" w:sz="0" w:space="0" w:color="auto"/>
        <w:right w:val="none" w:sz="0" w:space="0" w:color="auto"/>
      </w:divBdr>
    </w:div>
    <w:div w:id="1018777700">
      <w:bodyDiv w:val="1"/>
      <w:marLeft w:val="0"/>
      <w:marRight w:val="0"/>
      <w:marTop w:val="0"/>
      <w:marBottom w:val="0"/>
      <w:divBdr>
        <w:top w:val="none" w:sz="0" w:space="0" w:color="auto"/>
        <w:left w:val="none" w:sz="0" w:space="0" w:color="auto"/>
        <w:bottom w:val="none" w:sz="0" w:space="0" w:color="auto"/>
        <w:right w:val="none" w:sz="0" w:space="0" w:color="auto"/>
      </w:divBdr>
    </w:div>
    <w:div w:id="1031148628">
      <w:bodyDiv w:val="1"/>
      <w:marLeft w:val="0"/>
      <w:marRight w:val="0"/>
      <w:marTop w:val="0"/>
      <w:marBottom w:val="0"/>
      <w:divBdr>
        <w:top w:val="none" w:sz="0" w:space="0" w:color="auto"/>
        <w:left w:val="none" w:sz="0" w:space="0" w:color="auto"/>
        <w:bottom w:val="none" w:sz="0" w:space="0" w:color="auto"/>
        <w:right w:val="none" w:sz="0" w:space="0" w:color="auto"/>
      </w:divBdr>
    </w:div>
    <w:div w:id="1058671110">
      <w:bodyDiv w:val="1"/>
      <w:marLeft w:val="0"/>
      <w:marRight w:val="0"/>
      <w:marTop w:val="0"/>
      <w:marBottom w:val="0"/>
      <w:divBdr>
        <w:top w:val="none" w:sz="0" w:space="0" w:color="auto"/>
        <w:left w:val="none" w:sz="0" w:space="0" w:color="auto"/>
        <w:bottom w:val="none" w:sz="0" w:space="0" w:color="auto"/>
        <w:right w:val="none" w:sz="0" w:space="0" w:color="auto"/>
      </w:divBdr>
    </w:div>
    <w:div w:id="1084112822">
      <w:bodyDiv w:val="1"/>
      <w:marLeft w:val="0"/>
      <w:marRight w:val="0"/>
      <w:marTop w:val="0"/>
      <w:marBottom w:val="0"/>
      <w:divBdr>
        <w:top w:val="none" w:sz="0" w:space="0" w:color="auto"/>
        <w:left w:val="none" w:sz="0" w:space="0" w:color="auto"/>
        <w:bottom w:val="none" w:sz="0" w:space="0" w:color="auto"/>
        <w:right w:val="none" w:sz="0" w:space="0" w:color="auto"/>
      </w:divBdr>
    </w:div>
    <w:div w:id="1088187265">
      <w:bodyDiv w:val="1"/>
      <w:marLeft w:val="0"/>
      <w:marRight w:val="0"/>
      <w:marTop w:val="0"/>
      <w:marBottom w:val="0"/>
      <w:divBdr>
        <w:top w:val="none" w:sz="0" w:space="0" w:color="auto"/>
        <w:left w:val="none" w:sz="0" w:space="0" w:color="auto"/>
        <w:bottom w:val="none" w:sz="0" w:space="0" w:color="auto"/>
        <w:right w:val="none" w:sz="0" w:space="0" w:color="auto"/>
      </w:divBdr>
    </w:div>
    <w:div w:id="1103262282">
      <w:bodyDiv w:val="1"/>
      <w:marLeft w:val="0"/>
      <w:marRight w:val="0"/>
      <w:marTop w:val="0"/>
      <w:marBottom w:val="0"/>
      <w:divBdr>
        <w:top w:val="none" w:sz="0" w:space="0" w:color="auto"/>
        <w:left w:val="none" w:sz="0" w:space="0" w:color="auto"/>
        <w:bottom w:val="none" w:sz="0" w:space="0" w:color="auto"/>
        <w:right w:val="none" w:sz="0" w:space="0" w:color="auto"/>
      </w:divBdr>
    </w:div>
    <w:div w:id="1173642271">
      <w:bodyDiv w:val="1"/>
      <w:marLeft w:val="0"/>
      <w:marRight w:val="0"/>
      <w:marTop w:val="0"/>
      <w:marBottom w:val="0"/>
      <w:divBdr>
        <w:top w:val="none" w:sz="0" w:space="0" w:color="auto"/>
        <w:left w:val="none" w:sz="0" w:space="0" w:color="auto"/>
        <w:bottom w:val="none" w:sz="0" w:space="0" w:color="auto"/>
        <w:right w:val="none" w:sz="0" w:space="0" w:color="auto"/>
      </w:divBdr>
    </w:div>
    <w:div w:id="1193422433">
      <w:bodyDiv w:val="1"/>
      <w:marLeft w:val="0"/>
      <w:marRight w:val="0"/>
      <w:marTop w:val="0"/>
      <w:marBottom w:val="0"/>
      <w:divBdr>
        <w:top w:val="none" w:sz="0" w:space="0" w:color="auto"/>
        <w:left w:val="none" w:sz="0" w:space="0" w:color="auto"/>
        <w:bottom w:val="none" w:sz="0" w:space="0" w:color="auto"/>
        <w:right w:val="none" w:sz="0" w:space="0" w:color="auto"/>
      </w:divBdr>
    </w:div>
    <w:div w:id="1215191373">
      <w:bodyDiv w:val="1"/>
      <w:marLeft w:val="0"/>
      <w:marRight w:val="0"/>
      <w:marTop w:val="0"/>
      <w:marBottom w:val="0"/>
      <w:divBdr>
        <w:top w:val="none" w:sz="0" w:space="0" w:color="auto"/>
        <w:left w:val="none" w:sz="0" w:space="0" w:color="auto"/>
        <w:bottom w:val="none" w:sz="0" w:space="0" w:color="auto"/>
        <w:right w:val="none" w:sz="0" w:space="0" w:color="auto"/>
      </w:divBdr>
      <w:divsChild>
        <w:div w:id="1847212713">
          <w:marLeft w:val="0"/>
          <w:marRight w:val="0"/>
          <w:marTop w:val="0"/>
          <w:marBottom w:val="0"/>
          <w:divBdr>
            <w:top w:val="none" w:sz="0" w:space="0" w:color="auto"/>
            <w:left w:val="none" w:sz="0" w:space="0" w:color="auto"/>
            <w:bottom w:val="none" w:sz="0" w:space="0" w:color="auto"/>
            <w:right w:val="none" w:sz="0" w:space="0" w:color="auto"/>
          </w:divBdr>
        </w:div>
      </w:divsChild>
    </w:div>
    <w:div w:id="1230113962">
      <w:bodyDiv w:val="1"/>
      <w:marLeft w:val="0"/>
      <w:marRight w:val="0"/>
      <w:marTop w:val="0"/>
      <w:marBottom w:val="0"/>
      <w:divBdr>
        <w:top w:val="none" w:sz="0" w:space="0" w:color="auto"/>
        <w:left w:val="none" w:sz="0" w:space="0" w:color="auto"/>
        <w:bottom w:val="none" w:sz="0" w:space="0" w:color="auto"/>
        <w:right w:val="none" w:sz="0" w:space="0" w:color="auto"/>
      </w:divBdr>
    </w:div>
    <w:div w:id="1248685376">
      <w:bodyDiv w:val="1"/>
      <w:marLeft w:val="0"/>
      <w:marRight w:val="0"/>
      <w:marTop w:val="0"/>
      <w:marBottom w:val="0"/>
      <w:divBdr>
        <w:top w:val="none" w:sz="0" w:space="0" w:color="auto"/>
        <w:left w:val="none" w:sz="0" w:space="0" w:color="auto"/>
        <w:bottom w:val="none" w:sz="0" w:space="0" w:color="auto"/>
        <w:right w:val="none" w:sz="0" w:space="0" w:color="auto"/>
      </w:divBdr>
    </w:div>
    <w:div w:id="1279263368">
      <w:bodyDiv w:val="1"/>
      <w:marLeft w:val="0"/>
      <w:marRight w:val="0"/>
      <w:marTop w:val="0"/>
      <w:marBottom w:val="0"/>
      <w:divBdr>
        <w:top w:val="none" w:sz="0" w:space="0" w:color="auto"/>
        <w:left w:val="none" w:sz="0" w:space="0" w:color="auto"/>
        <w:bottom w:val="none" w:sz="0" w:space="0" w:color="auto"/>
        <w:right w:val="none" w:sz="0" w:space="0" w:color="auto"/>
      </w:divBdr>
    </w:div>
    <w:div w:id="1287004367">
      <w:bodyDiv w:val="1"/>
      <w:marLeft w:val="0"/>
      <w:marRight w:val="0"/>
      <w:marTop w:val="0"/>
      <w:marBottom w:val="0"/>
      <w:divBdr>
        <w:top w:val="none" w:sz="0" w:space="0" w:color="auto"/>
        <w:left w:val="none" w:sz="0" w:space="0" w:color="auto"/>
        <w:bottom w:val="none" w:sz="0" w:space="0" w:color="auto"/>
        <w:right w:val="none" w:sz="0" w:space="0" w:color="auto"/>
      </w:divBdr>
    </w:div>
    <w:div w:id="1344091400">
      <w:bodyDiv w:val="1"/>
      <w:marLeft w:val="0"/>
      <w:marRight w:val="0"/>
      <w:marTop w:val="0"/>
      <w:marBottom w:val="0"/>
      <w:divBdr>
        <w:top w:val="none" w:sz="0" w:space="0" w:color="auto"/>
        <w:left w:val="none" w:sz="0" w:space="0" w:color="auto"/>
        <w:bottom w:val="none" w:sz="0" w:space="0" w:color="auto"/>
        <w:right w:val="none" w:sz="0" w:space="0" w:color="auto"/>
      </w:divBdr>
    </w:div>
    <w:div w:id="1350763066">
      <w:bodyDiv w:val="1"/>
      <w:marLeft w:val="0"/>
      <w:marRight w:val="0"/>
      <w:marTop w:val="0"/>
      <w:marBottom w:val="0"/>
      <w:divBdr>
        <w:top w:val="none" w:sz="0" w:space="0" w:color="auto"/>
        <w:left w:val="none" w:sz="0" w:space="0" w:color="auto"/>
        <w:bottom w:val="none" w:sz="0" w:space="0" w:color="auto"/>
        <w:right w:val="none" w:sz="0" w:space="0" w:color="auto"/>
      </w:divBdr>
    </w:div>
    <w:div w:id="1364939069">
      <w:bodyDiv w:val="1"/>
      <w:marLeft w:val="0"/>
      <w:marRight w:val="0"/>
      <w:marTop w:val="0"/>
      <w:marBottom w:val="0"/>
      <w:divBdr>
        <w:top w:val="none" w:sz="0" w:space="0" w:color="auto"/>
        <w:left w:val="none" w:sz="0" w:space="0" w:color="auto"/>
        <w:bottom w:val="none" w:sz="0" w:space="0" w:color="auto"/>
        <w:right w:val="none" w:sz="0" w:space="0" w:color="auto"/>
      </w:divBdr>
    </w:div>
    <w:div w:id="1407604065">
      <w:bodyDiv w:val="1"/>
      <w:marLeft w:val="0"/>
      <w:marRight w:val="0"/>
      <w:marTop w:val="0"/>
      <w:marBottom w:val="0"/>
      <w:divBdr>
        <w:top w:val="none" w:sz="0" w:space="0" w:color="auto"/>
        <w:left w:val="none" w:sz="0" w:space="0" w:color="auto"/>
        <w:bottom w:val="none" w:sz="0" w:space="0" w:color="auto"/>
        <w:right w:val="none" w:sz="0" w:space="0" w:color="auto"/>
      </w:divBdr>
    </w:div>
    <w:div w:id="1446581677">
      <w:bodyDiv w:val="1"/>
      <w:marLeft w:val="0"/>
      <w:marRight w:val="0"/>
      <w:marTop w:val="0"/>
      <w:marBottom w:val="0"/>
      <w:divBdr>
        <w:top w:val="none" w:sz="0" w:space="0" w:color="auto"/>
        <w:left w:val="none" w:sz="0" w:space="0" w:color="auto"/>
        <w:bottom w:val="none" w:sz="0" w:space="0" w:color="auto"/>
        <w:right w:val="none" w:sz="0" w:space="0" w:color="auto"/>
      </w:divBdr>
    </w:div>
    <w:div w:id="1481724784">
      <w:bodyDiv w:val="1"/>
      <w:marLeft w:val="0"/>
      <w:marRight w:val="0"/>
      <w:marTop w:val="0"/>
      <w:marBottom w:val="0"/>
      <w:divBdr>
        <w:top w:val="none" w:sz="0" w:space="0" w:color="auto"/>
        <w:left w:val="none" w:sz="0" w:space="0" w:color="auto"/>
        <w:bottom w:val="none" w:sz="0" w:space="0" w:color="auto"/>
        <w:right w:val="none" w:sz="0" w:space="0" w:color="auto"/>
      </w:divBdr>
    </w:div>
    <w:div w:id="1489052164">
      <w:bodyDiv w:val="1"/>
      <w:marLeft w:val="0"/>
      <w:marRight w:val="0"/>
      <w:marTop w:val="0"/>
      <w:marBottom w:val="0"/>
      <w:divBdr>
        <w:top w:val="none" w:sz="0" w:space="0" w:color="auto"/>
        <w:left w:val="none" w:sz="0" w:space="0" w:color="auto"/>
        <w:bottom w:val="none" w:sz="0" w:space="0" w:color="auto"/>
        <w:right w:val="none" w:sz="0" w:space="0" w:color="auto"/>
      </w:divBdr>
    </w:div>
    <w:div w:id="1557084808">
      <w:bodyDiv w:val="1"/>
      <w:marLeft w:val="0"/>
      <w:marRight w:val="0"/>
      <w:marTop w:val="0"/>
      <w:marBottom w:val="0"/>
      <w:divBdr>
        <w:top w:val="none" w:sz="0" w:space="0" w:color="auto"/>
        <w:left w:val="none" w:sz="0" w:space="0" w:color="auto"/>
        <w:bottom w:val="none" w:sz="0" w:space="0" w:color="auto"/>
        <w:right w:val="none" w:sz="0" w:space="0" w:color="auto"/>
      </w:divBdr>
    </w:div>
    <w:div w:id="1565868113">
      <w:bodyDiv w:val="1"/>
      <w:marLeft w:val="0"/>
      <w:marRight w:val="0"/>
      <w:marTop w:val="0"/>
      <w:marBottom w:val="0"/>
      <w:divBdr>
        <w:top w:val="none" w:sz="0" w:space="0" w:color="auto"/>
        <w:left w:val="none" w:sz="0" w:space="0" w:color="auto"/>
        <w:bottom w:val="none" w:sz="0" w:space="0" w:color="auto"/>
        <w:right w:val="none" w:sz="0" w:space="0" w:color="auto"/>
      </w:divBdr>
    </w:div>
    <w:div w:id="1567446543">
      <w:bodyDiv w:val="1"/>
      <w:marLeft w:val="0"/>
      <w:marRight w:val="0"/>
      <w:marTop w:val="0"/>
      <w:marBottom w:val="0"/>
      <w:divBdr>
        <w:top w:val="none" w:sz="0" w:space="0" w:color="auto"/>
        <w:left w:val="none" w:sz="0" w:space="0" w:color="auto"/>
        <w:bottom w:val="none" w:sz="0" w:space="0" w:color="auto"/>
        <w:right w:val="none" w:sz="0" w:space="0" w:color="auto"/>
      </w:divBdr>
    </w:div>
    <w:div w:id="1617368351">
      <w:bodyDiv w:val="1"/>
      <w:marLeft w:val="0"/>
      <w:marRight w:val="0"/>
      <w:marTop w:val="0"/>
      <w:marBottom w:val="0"/>
      <w:divBdr>
        <w:top w:val="none" w:sz="0" w:space="0" w:color="auto"/>
        <w:left w:val="none" w:sz="0" w:space="0" w:color="auto"/>
        <w:bottom w:val="none" w:sz="0" w:space="0" w:color="auto"/>
        <w:right w:val="none" w:sz="0" w:space="0" w:color="auto"/>
      </w:divBdr>
    </w:div>
    <w:div w:id="1750418120">
      <w:bodyDiv w:val="1"/>
      <w:marLeft w:val="0"/>
      <w:marRight w:val="0"/>
      <w:marTop w:val="0"/>
      <w:marBottom w:val="0"/>
      <w:divBdr>
        <w:top w:val="none" w:sz="0" w:space="0" w:color="auto"/>
        <w:left w:val="none" w:sz="0" w:space="0" w:color="auto"/>
        <w:bottom w:val="none" w:sz="0" w:space="0" w:color="auto"/>
        <w:right w:val="none" w:sz="0" w:space="0" w:color="auto"/>
      </w:divBdr>
    </w:div>
    <w:div w:id="1800682640">
      <w:bodyDiv w:val="1"/>
      <w:marLeft w:val="0"/>
      <w:marRight w:val="0"/>
      <w:marTop w:val="0"/>
      <w:marBottom w:val="0"/>
      <w:divBdr>
        <w:top w:val="none" w:sz="0" w:space="0" w:color="auto"/>
        <w:left w:val="none" w:sz="0" w:space="0" w:color="auto"/>
        <w:bottom w:val="none" w:sz="0" w:space="0" w:color="auto"/>
        <w:right w:val="none" w:sz="0" w:space="0" w:color="auto"/>
      </w:divBdr>
    </w:div>
    <w:div w:id="1825461919">
      <w:bodyDiv w:val="1"/>
      <w:marLeft w:val="0"/>
      <w:marRight w:val="0"/>
      <w:marTop w:val="0"/>
      <w:marBottom w:val="0"/>
      <w:divBdr>
        <w:top w:val="none" w:sz="0" w:space="0" w:color="auto"/>
        <w:left w:val="none" w:sz="0" w:space="0" w:color="auto"/>
        <w:bottom w:val="none" w:sz="0" w:space="0" w:color="auto"/>
        <w:right w:val="none" w:sz="0" w:space="0" w:color="auto"/>
      </w:divBdr>
    </w:div>
    <w:div w:id="1869560955">
      <w:bodyDiv w:val="1"/>
      <w:marLeft w:val="0"/>
      <w:marRight w:val="0"/>
      <w:marTop w:val="0"/>
      <w:marBottom w:val="0"/>
      <w:divBdr>
        <w:top w:val="none" w:sz="0" w:space="0" w:color="auto"/>
        <w:left w:val="none" w:sz="0" w:space="0" w:color="auto"/>
        <w:bottom w:val="none" w:sz="0" w:space="0" w:color="auto"/>
        <w:right w:val="none" w:sz="0" w:space="0" w:color="auto"/>
      </w:divBdr>
    </w:div>
    <w:div w:id="1909417462">
      <w:bodyDiv w:val="1"/>
      <w:marLeft w:val="0"/>
      <w:marRight w:val="0"/>
      <w:marTop w:val="0"/>
      <w:marBottom w:val="0"/>
      <w:divBdr>
        <w:top w:val="none" w:sz="0" w:space="0" w:color="auto"/>
        <w:left w:val="none" w:sz="0" w:space="0" w:color="auto"/>
        <w:bottom w:val="none" w:sz="0" w:space="0" w:color="auto"/>
        <w:right w:val="none" w:sz="0" w:space="0" w:color="auto"/>
      </w:divBdr>
    </w:div>
    <w:div w:id="1909995702">
      <w:bodyDiv w:val="1"/>
      <w:marLeft w:val="0"/>
      <w:marRight w:val="0"/>
      <w:marTop w:val="0"/>
      <w:marBottom w:val="0"/>
      <w:divBdr>
        <w:top w:val="none" w:sz="0" w:space="0" w:color="auto"/>
        <w:left w:val="none" w:sz="0" w:space="0" w:color="auto"/>
        <w:bottom w:val="none" w:sz="0" w:space="0" w:color="auto"/>
        <w:right w:val="none" w:sz="0" w:space="0" w:color="auto"/>
      </w:divBdr>
    </w:div>
    <w:div w:id="1916740613">
      <w:bodyDiv w:val="1"/>
      <w:marLeft w:val="0"/>
      <w:marRight w:val="0"/>
      <w:marTop w:val="0"/>
      <w:marBottom w:val="0"/>
      <w:divBdr>
        <w:top w:val="none" w:sz="0" w:space="0" w:color="auto"/>
        <w:left w:val="none" w:sz="0" w:space="0" w:color="auto"/>
        <w:bottom w:val="none" w:sz="0" w:space="0" w:color="auto"/>
        <w:right w:val="none" w:sz="0" w:space="0" w:color="auto"/>
      </w:divBdr>
    </w:div>
    <w:div w:id="1968391706">
      <w:bodyDiv w:val="1"/>
      <w:marLeft w:val="0"/>
      <w:marRight w:val="0"/>
      <w:marTop w:val="0"/>
      <w:marBottom w:val="0"/>
      <w:divBdr>
        <w:top w:val="none" w:sz="0" w:space="0" w:color="auto"/>
        <w:left w:val="none" w:sz="0" w:space="0" w:color="auto"/>
        <w:bottom w:val="none" w:sz="0" w:space="0" w:color="auto"/>
        <w:right w:val="none" w:sz="0" w:space="0" w:color="auto"/>
      </w:divBdr>
    </w:div>
    <w:div w:id="2017147189">
      <w:bodyDiv w:val="1"/>
      <w:marLeft w:val="0"/>
      <w:marRight w:val="0"/>
      <w:marTop w:val="0"/>
      <w:marBottom w:val="0"/>
      <w:divBdr>
        <w:top w:val="none" w:sz="0" w:space="0" w:color="auto"/>
        <w:left w:val="none" w:sz="0" w:space="0" w:color="auto"/>
        <w:bottom w:val="none" w:sz="0" w:space="0" w:color="auto"/>
        <w:right w:val="none" w:sz="0" w:space="0" w:color="auto"/>
      </w:divBdr>
    </w:div>
    <w:div w:id="2023975326">
      <w:bodyDiv w:val="1"/>
      <w:marLeft w:val="0"/>
      <w:marRight w:val="0"/>
      <w:marTop w:val="0"/>
      <w:marBottom w:val="0"/>
      <w:divBdr>
        <w:top w:val="none" w:sz="0" w:space="0" w:color="auto"/>
        <w:left w:val="none" w:sz="0" w:space="0" w:color="auto"/>
        <w:bottom w:val="none" w:sz="0" w:space="0" w:color="auto"/>
        <w:right w:val="none" w:sz="0" w:space="0" w:color="auto"/>
      </w:divBdr>
    </w:div>
    <w:div w:id="2035811520">
      <w:bodyDiv w:val="1"/>
      <w:marLeft w:val="0"/>
      <w:marRight w:val="0"/>
      <w:marTop w:val="0"/>
      <w:marBottom w:val="0"/>
      <w:divBdr>
        <w:top w:val="none" w:sz="0" w:space="0" w:color="auto"/>
        <w:left w:val="none" w:sz="0" w:space="0" w:color="auto"/>
        <w:bottom w:val="none" w:sz="0" w:space="0" w:color="auto"/>
        <w:right w:val="none" w:sz="0" w:space="0" w:color="auto"/>
      </w:divBdr>
    </w:div>
    <w:div w:id="2038003338">
      <w:bodyDiv w:val="1"/>
      <w:marLeft w:val="0"/>
      <w:marRight w:val="0"/>
      <w:marTop w:val="0"/>
      <w:marBottom w:val="0"/>
      <w:divBdr>
        <w:top w:val="none" w:sz="0" w:space="0" w:color="auto"/>
        <w:left w:val="none" w:sz="0" w:space="0" w:color="auto"/>
        <w:bottom w:val="none" w:sz="0" w:space="0" w:color="auto"/>
        <w:right w:val="none" w:sz="0" w:space="0" w:color="auto"/>
      </w:divBdr>
    </w:div>
    <w:div w:id="2060469113">
      <w:bodyDiv w:val="1"/>
      <w:marLeft w:val="0"/>
      <w:marRight w:val="0"/>
      <w:marTop w:val="0"/>
      <w:marBottom w:val="0"/>
      <w:divBdr>
        <w:top w:val="none" w:sz="0" w:space="0" w:color="auto"/>
        <w:left w:val="none" w:sz="0" w:space="0" w:color="auto"/>
        <w:bottom w:val="none" w:sz="0" w:space="0" w:color="auto"/>
        <w:right w:val="none" w:sz="0" w:space="0" w:color="auto"/>
      </w:divBdr>
    </w:div>
    <w:div w:id="2086220119">
      <w:bodyDiv w:val="1"/>
      <w:marLeft w:val="0"/>
      <w:marRight w:val="0"/>
      <w:marTop w:val="0"/>
      <w:marBottom w:val="0"/>
      <w:divBdr>
        <w:top w:val="none" w:sz="0" w:space="0" w:color="auto"/>
        <w:left w:val="none" w:sz="0" w:space="0" w:color="auto"/>
        <w:bottom w:val="none" w:sz="0" w:space="0" w:color="auto"/>
        <w:right w:val="none" w:sz="0" w:space="0" w:color="auto"/>
      </w:divBdr>
    </w:div>
    <w:div w:id="21252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2.xml"/><Relationship Id="rId34" Type="http://schemas.openxmlformats.org/officeDocument/2006/relationships/chart" Target="charts/chart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2908/INN_CIS11_CO" TargetMode="Externa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4.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chart" Target="charts/chart3.xml"/><Relationship Id="rId19" Type="http://schemas.openxmlformats.org/officeDocument/2006/relationships/hyperlink" Target="https://doi.org/10.2908/EDUC_UOE_GRAD07" TargetMode="Externa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3.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2908/EDAT_LFS_9903" TargetMode="External"/><Relationship Id="rId25" Type="http://schemas.openxmlformats.org/officeDocument/2006/relationships/hyperlink" Target="https://doi.org/10.2908/INN_CIS13_CO" TargetMode="External"/><Relationship Id="rId33" Type="http://schemas.openxmlformats.org/officeDocument/2006/relationships/chart" Target="charts/chart22.xml"/><Relationship Id="rId38" Type="http://schemas.openxmlformats.org/officeDocument/2006/relationships/chart" Target="charts/chart27.xml"/></Relationships>
</file>

<file path=word/charts/_rels/chart1.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Final/Preh&#318;ad%20grafov_final.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radvlady-my.sharepoint.com/personal/daniel_straka_vlada_gov_sk/Documents/DS/Preh&#318;ad%20grafov_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'1.'!$C$1</c:f>
              <c:strCache>
                <c:ptCount val="1"/>
                <c:pt idx="0">
                  <c:v>2024</c:v>
                </c:pt>
              </c:strCache>
            </c:strRef>
          </c:tx>
          <c:spPr>
            <a:solidFill>
              <a:schemeClr val="tx2">
                <a:lumMod val="25000"/>
                <a:lumOff val="75000"/>
              </a:schemeClr>
            </a:solidFill>
            <a:ln>
              <a:solidFill>
                <a:schemeClr val="tx2">
                  <a:lumMod val="25000"/>
                  <a:lumOff val="75000"/>
                </a:schemeClr>
              </a:solidFill>
            </a:ln>
            <a:effectLst/>
          </c:spPr>
          <c:invertIfNegative val="0"/>
          <c:dPt>
            <c:idx val="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8314-4C50-8DEA-398930B25B03}"/>
              </c:ext>
            </c:extLst>
          </c:dPt>
          <c:dPt>
            <c:idx val="1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8314-4C50-8DEA-398930B25B03}"/>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8314-4C50-8DEA-398930B25B03}"/>
              </c:ext>
            </c:extLst>
          </c:dPt>
          <c:dPt>
            <c:idx val="1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8314-4C50-8DEA-398930B25B03}"/>
              </c:ext>
            </c:extLst>
          </c:dPt>
          <c:dPt>
            <c:idx val="2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8314-4C50-8DEA-398930B25B03}"/>
              </c:ext>
            </c:extLst>
          </c:dPt>
          <c:dPt>
            <c:idx val="2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8314-4C50-8DEA-398930B25B03}"/>
              </c:ext>
            </c:extLst>
          </c:dPt>
          <c:dPt>
            <c:idx val="2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8314-4C50-8DEA-398930B25B03}"/>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8314-4C50-8DEA-398930B25B03}"/>
              </c:ext>
            </c:extLst>
          </c:dPt>
          <c:dPt>
            <c:idx val="3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8314-4C50-8DEA-398930B25B03}"/>
              </c:ext>
            </c:extLst>
          </c:dPt>
          <c:dPt>
            <c:idx val="3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8314-4C50-8DEA-398930B25B03}"/>
              </c:ext>
            </c:extLst>
          </c:dPt>
          <c:dPt>
            <c:idx val="3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8314-4C50-8DEA-398930B25B03}"/>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7-8314-4C50-8DEA-398930B25B03}"/>
              </c:ext>
            </c:extLst>
          </c:dPt>
          <c:dPt>
            <c:idx val="3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9-8314-4C50-8DEA-398930B25B03}"/>
              </c:ext>
            </c:extLst>
          </c:dPt>
          <c:dPt>
            <c:idx val="3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B-8314-4C50-8DEA-398930B25B03}"/>
              </c:ext>
            </c:extLst>
          </c:dPt>
          <c:cat>
            <c:strRef>
              <c:f>'1.'!$B$2:$B$41</c:f>
              <c:strCache>
                <c:ptCount val="40"/>
                <c:pt idx="0">
                  <c:v>CH</c:v>
                </c:pt>
                <c:pt idx="1">
                  <c:v>DK</c:v>
                </c:pt>
                <c:pt idx="2">
                  <c:v>SE</c:v>
                </c:pt>
                <c:pt idx="3">
                  <c:v>FI</c:v>
                </c:pt>
                <c:pt idx="4">
                  <c:v>NL</c:v>
                </c:pt>
                <c:pt idx="5">
                  <c:v>BE</c:v>
                </c:pt>
                <c:pt idx="6">
                  <c:v>NO</c:v>
                </c:pt>
                <c:pt idx="7">
                  <c:v>AT</c:v>
                </c:pt>
                <c:pt idx="8">
                  <c:v>UK</c:v>
                </c:pt>
                <c:pt idx="9">
                  <c:v>IE</c:v>
                </c:pt>
                <c:pt idx="10">
                  <c:v>LU</c:v>
                </c:pt>
                <c:pt idx="11">
                  <c:v>DE</c:v>
                </c:pt>
                <c:pt idx="12">
                  <c:v>CY</c:v>
                </c:pt>
                <c:pt idx="13">
                  <c:v>EE</c:v>
                </c:pt>
                <c:pt idx="14">
                  <c:v>FR</c:v>
                </c:pt>
                <c:pt idx="15">
                  <c:v>IS</c:v>
                </c:pt>
                <c:pt idx="16">
                  <c:v>EU27</c:v>
                </c:pt>
                <c:pt idx="17">
                  <c:v>SI</c:v>
                </c:pt>
                <c:pt idx="18">
                  <c:v>ES</c:v>
                </c:pt>
                <c:pt idx="19">
                  <c:v>CZ</c:v>
                </c:pt>
                <c:pt idx="20">
                  <c:v>IT</c:v>
                </c:pt>
                <c:pt idx="21">
                  <c:v>MT</c:v>
                </c:pt>
                <c:pt idx="22">
                  <c:v>LT</c:v>
                </c:pt>
                <c:pt idx="23">
                  <c:v>PT</c:v>
                </c:pt>
                <c:pt idx="24">
                  <c:v>EL</c:v>
                </c:pt>
                <c:pt idx="25">
                  <c:v>HU</c:v>
                </c:pt>
                <c:pt idx="26">
                  <c:v>HR</c:v>
                </c:pt>
                <c:pt idx="27">
                  <c:v>PL</c:v>
                </c:pt>
                <c:pt idx="28">
                  <c:v>SK</c:v>
                </c:pt>
                <c:pt idx="29">
                  <c:v>RS</c:v>
                </c:pt>
                <c:pt idx="30">
                  <c:v>LV</c:v>
                </c:pt>
                <c:pt idx="31">
                  <c:v>TR</c:v>
                </c:pt>
                <c:pt idx="32">
                  <c:v>ME</c:v>
                </c:pt>
                <c:pt idx="33">
                  <c:v>BG</c:v>
                </c:pt>
                <c:pt idx="34">
                  <c:v>MK</c:v>
                </c:pt>
                <c:pt idx="35">
                  <c:v>AL</c:v>
                </c:pt>
                <c:pt idx="36">
                  <c:v>RO</c:v>
                </c:pt>
                <c:pt idx="37">
                  <c:v>BA</c:v>
                </c:pt>
                <c:pt idx="38">
                  <c:v>UA</c:v>
                </c:pt>
                <c:pt idx="39">
                  <c:v>MD</c:v>
                </c:pt>
              </c:strCache>
            </c:strRef>
          </c:cat>
          <c:val>
            <c:numRef>
              <c:f>'1.'!$C$2:$C$41</c:f>
              <c:numCache>
                <c:formatCode>_-\ #\ ##0.00_-;\-* #\ ##0.00_-;_-* "-"??_-;_-@_-</c:formatCode>
                <c:ptCount val="40"/>
                <c:pt idx="0">
                  <c:v>0.76458665651920998</c:v>
                </c:pt>
                <c:pt idx="1">
                  <c:v>0.74991153840526004</c:v>
                </c:pt>
                <c:pt idx="2">
                  <c:v>0.73438777187147997</c:v>
                </c:pt>
                <c:pt idx="3">
                  <c:v>0.70632618226592803</c:v>
                </c:pt>
                <c:pt idx="4">
                  <c:v>0.69490624862297301</c:v>
                </c:pt>
                <c:pt idx="5">
                  <c:v>0.68314182611924501</c:v>
                </c:pt>
                <c:pt idx="6">
                  <c:v>0.64668269415938595</c:v>
                </c:pt>
                <c:pt idx="7">
                  <c:v>0.64236012726179703</c:v>
                </c:pt>
                <c:pt idx="8">
                  <c:v>0.63459587163099695</c:v>
                </c:pt>
                <c:pt idx="9">
                  <c:v>0.62554250889658403</c:v>
                </c:pt>
                <c:pt idx="10">
                  <c:v>0.61946157807406799</c:v>
                </c:pt>
                <c:pt idx="11">
                  <c:v>0.61713834254959099</c:v>
                </c:pt>
                <c:pt idx="12">
                  <c:v>0.58702328482094501</c:v>
                </c:pt>
                <c:pt idx="13">
                  <c:v>0.57906878970299203</c:v>
                </c:pt>
                <c:pt idx="14">
                  <c:v>0.574591409261624</c:v>
                </c:pt>
                <c:pt idx="15">
                  <c:v>0.55564017038479696</c:v>
                </c:pt>
                <c:pt idx="16">
                  <c:v>0.55270309500608295</c:v>
                </c:pt>
                <c:pt idx="17">
                  <c:v>0.50290018952761595</c:v>
                </c:pt>
                <c:pt idx="18">
                  <c:v>0.49677199809834299</c:v>
                </c:pt>
                <c:pt idx="19">
                  <c:v>0.49590726096634302</c:v>
                </c:pt>
                <c:pt idx="20">
                  <c:v>0.49520901801450701</c:v>
                </c:pt>
                <c:pt idx="21">
                  <c:v>0.48626372035778997</c:v>
                </c:pt>
                <c:pt idx="22">
                  <c:v>0.46204077222965001</c:v>
                </c:pt>
                <c:pt idx="23">
                  <c:v>0.460997158738784</c:v>
                </c:pt>
                <c:pt idx="24">
                  <c:v>0.42833837172516998</c:v>
                </c:pt>
                <c:pt idx="25">
                  <c:v>0.38982167720966199</c:v>
                </c:pt>
                <c:pt idx="26">
                  <c:v>0.38466186712295303</c:v>
                </c:pt>
                <c:pt idx="27">
                  <c:v>0.36410839426680902</c:v>
                </c:pt>
                <c:pt idx="28">
                  <c:v>0.35989106696972201</c:v>
                </c:pt>
                <c:pt idx="29">
                  <c:v>0.34721891129746901</c:v>
                </c:pt>
                <c:pt idx="30">
                  <c:v>0.29649491981795301</c:v>
                </c:pt>
                <c:pt idx="31">
                  <c:v>0.285606741016174</c:v>
                </c:pt>
                <c:pt idx="32">
                  <c:v>0.26251997259339799</c:v>
                </c:pt>
                <c:pt idx="33">
                  <c:v>0.254422730834716</c:v>
                </c:pt>
                <c:pt idx="34">
                  <c:v>0.24892107952096101</c:v>
                </c:pt>
                <c:pt idx="35">
                  <c:v>0.231225639391549</c:v>
                </c:pt>
                <c:pt idx="36">
                  <c:v>0.187764819533741</c:v>
                </c:pt>
                <c:pt idx="37">
                  <c:v>0.18266749401298599</c:v>
                </c:pt>
                <c:pt idx="38">
                  <c:v>0.179194097304884</c:v>
                </c:pt>
                <c:pt idx="39">
                  <c:v>0.12792048937209699</c:v>
                </c:pt>
              </c:numCache>
            </c:numRef>
          </c:val>
          <c:extLst>
            <c:ext xmlns:c16="http://schemas.microsoft.com/office/drawing/2014/chart" uri="{C3380CC4-5D6E-409C-BE32-E72D297353CC}">
              <c16:uniqueId val="{0000001C-8314-4C50-8DEA-398930B25B03}"/>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'1.'!$D$1</c:f>
              <c:strCache>
                <c:ptCount val="1"/>
                <c:pt idx="0">
                  <c:v>2017</c:v>
                </c:pt>
              </c:strCache>
            </c:strRef>
          </c:tx>
          <c:spPr>
            <a:ln w="28575" cap="rnd">
              <a:noFill/>
              <a:round/>
            </a:ln>
            <a:effectLst/>
          </c:spPr>
          <c:marker>
            <c:symbol val="triangle"/>
            <c:size val="8"/>
            <c:spPr>
              <a:solidFill>
                <a:srgbClr val="FFFF00"/>
              </a:solidFill>
              <a:ln w="9525">
                <a:solidFill>
                  <a:srgbClr val="FFFF00"/>
                </a:solidFill>
              </a:ln>
              <a:effectLst/>
            </c:spPr>
          </c:marker>
          <c:cat>
            <c:strRef>
              <c:f>'1.'!$B$2:$B$41</c:f>
              <c:strCache>
                <c:ptCount val="40"/>
                <c:pt idx="0">
                  <c:v>CH</c:v>
                </c:pt>
                <c:pt idx="1">
                  <c:v>DK</c:v>
                </c:pt>
                <c:pt idx="2">
                  <c:v>SE</c:v>
                </c:pt>
                <c:pt idx="3">
                  <c:v>FI</c:v>
                </c:pt>
                <c:pt idx="4">
                  <c:v>NL</c:v>
                </c:pt>
                <c:pt idx="5">
                  <c:v>BE</c:v>
                </c:pt>
                <c:pt idx="6">
                  <c:v>NO</c:v>
                </c:pt>
                <c:pt idx="7">
                  <c:v>AT</c:v>
                </c:pt>
                <c:pt idx="8">
                  <c:v>UK</c:v>
                </c:pt>
                <c:pt idx="9">
                  <c:v>IE</c:v>
                </c:pt>
                <c:pt idx="10">
                  <c:v>LU</c:v>
                </c:pt>
                <c:pt idx="11">
                  <c:v>DE</c:v>
                </c:pt>
                <c:pt idx="12">
                  <c:v>CY</c:v>
                </c:pt>
                <c:pt idx="13">
                  <c:v>EE</c:v>
                </c:pt>
                <c:pt idx="14">
                  <c:v>FR</c:v>
                </c:pt>
                <c:pt idx="15">
                  <c:v>IS</c:v>
                </c:pt>
                <c:pt idx="16">
                  <c:v>EU27</c:v>
                </c:pt>
                <c:pt idx="17">
                  <c:v>SI</c:v>
                </c:pt>
                <c:pt idx="18">
                  <c:v>ES</c:v>
                </c:pt>
                <c:pt idx="19">
                  <c:v>CZ</c:v>
                </c:pt>
                <c:pt idx="20">
                  <c:v>IT</c:v>
                </c:pt>
                <c:pt idx="21">
                  <c:v>MT</c:v>
                </c:pt>
                <c:pt idx="22">
                  <c:v>LT</c:v>
                </c:pt>
                <c:pt idx="23">
                  <c:v>PT</c:v>
                </c:pt>
                <c:pt idx="24">
                  <c:v>EL</c:v>
                </c:pt>
                <c:pt idx="25">
                  <c:v>HU</c:v>
                </c:pt>
                <c:pt idx="26">
                  <c:v>HR</c:v>
                </c:pt>
                <c:pt idx="27">
                  <c:v>PL</c:v>
                </c:pt>
                <c:pt idx="28">
                  <c:v>SK</c:v>
                </c:pt>
                <c:pt idx="29">
                  <c:v>RS</c:v>
                </c:pt>
                <c:pt idx="30">
                  <c:v>LV</c:v>
                </c:pt>
                <c:pt idx="31">
                  <c:v>TR</c:v>
                </c:pt>
                <c:pt idx="32">
                  <c:v>ME</c:v>
                </c:pt>
                <c:pt idx="33">
                  <c:v>BG</c:v>
                </c:pt>
                <c:pt idx="34">
                  <c:v>MK</c:v>
                </c:pt>
                <c:pt idx="35">
                  <c:v>AL</c:v>
                </c:pt>
                <c:pt idx="36">
                  <c:v>RO</c:v>
                </c:pt>
                <c:pt idx="37">
                  <c:v>BA</c:v>
                </c:pt>
                <c:pt idx="38">
                  <c:v>UA</c:v>
                </c:pt>
                <c:pt idx="39">
                  <c:v>MD</c:v>
                </c:pt>
              </c:strCache>
            </c:strRef>
          </c:cat>
          <c:val>
            <c:numRef>
              <c:f>'1.'!$D$2:$D$41</c:f>
              <c:numCache>
                <c:formatCode>_-\ #\ ##0.00_-;\-* #\ ##0.00_-;_-* "-"??_-;_-@_-</c:formatCode>
                <c:ptCount val="40"/>
                <c:pt idx="0">
                  <c:v>0.75798307880249804</c:v>
                </c:pt>
                <c:pt idx="1">
                  <c:v>0.67867614557425804</c:v>
                </c:pt>
                <c:pt idx="2">
                  <c:v>0.68753969332178499</c:v>
                </c:pt>
                <c:pt idx="3">
                  <c:v>0.64701261792047304</c:v>
                </c:pt>
                <c:pt idx="4">
                  <c:v>0.65578581555231596</c:v>
                </c:pt>
                <c:pt idx="5">
                  <c:v>0.60728455948124904</c:v>
                </c:pt>
                <c:pt idx="6">
                  <c:v>0.58619800535470801</c:v>
                </c:pt>
                <c:pt idx="7">
                  <c:v>0.619326529319704</c:v>
                </c:pt>
                <c:pt idx="8">
                  <c:v>0.63507919532322898</c:v>
                </c:pt>
                <c:pt idx="9">
                  <c:v>0.61383405265743496</c:v>
                </c:pt>
                <c:pt idx="10">
                  <c:v>0.64718004196589396</c:v>
                </c:pt>
                <c:pt idx="11">
                  <c:v>0.59779146480307099</c:v>
                </c:pt>
                <c:pt idx="12">
                  <c:v>0.39182375725449198</c:v>
                </c:pt>
                <c:pt idx="13">
                  <c:v>0.44458024439071903</c:v>
                </c:pt>
                <c:pt idx="14">
                  <c:v>0.56611713746056802</c:v>
                </c:pt>
                <c:pt idx="15">
                  <c:v>0.52145160183023698</c:v>
                </c:pt>
                <c:pt idx="16">
                  <c:v>0.50235562363638198</c:v>
                </c:pt>
                <c:pt idx="17">
                  <c:v>0.47963320762827699</c:v>
                </c:pt>
                <c:pt idx="18">
                  <c:v>0.44976847785589602</c:v>
                </c:pt>
                <c:pt idx="19">
                  <c:v>0.41742485875902602</c:v>
                </c:pt>
                <c:pt idx="20">
                  <c:v>0.41994421870024601</c:v>
                </c:pt>
                <c:pt idx="21">
                  <c:v>0.45092098199042702</c:v>
                </c:pt>
                <c:pt idx="22">
                  <c:v>0.380036079370415</c:v>
                </c:pt>
                <c:pt idx="23">
                  <c:v>0.439380284519784</c:v>
                </c:pt>
                <c:pt idx="24">
                  <c:v>0.347918688144295</c:v>
                </c:pt>
                <c:pt idx="25">
                  <c:v>0.34609869596107601</c:v>
                </c:pt>
                <c:pt idx="26">
                  <c:v>0.31242572821929498</c:v>
                </c:pt>
                <c:pt idx="27">
                  <c:v>0.29897468412248901</c:v>
                </c:pt>
                <c:pt idx="28">
                  <c:v>0.34651892961997799</c:v>
                </c:pt>
                <c:pt idx="29">
                  <c:v>0.31017258331417902</c:v>
                </c:pt>
                <c:pt idx="30">
                  <c:v>0.28262378778733699</c:v>
                </c:pt>
                <c:pt idx="31">
                  <c:v>0.25514659061126099</c:v>
                </c:pt>
                <c:pt idx="32">
                  <c:v>0.23423128332263701</c:v>
                </c:pt>
                <c:pt idx="33">
                  <c:v>0.24040574953409</c:v>
                </c:pt>
                <c:pt idx="34">
                  <c:v>0.18998891933730999</c:v>
                </c:pt>
                <c:pt idx="35">
                  <c:v>0.18169622976728</c:v>
                </c:pt>
                <c:pt idx="36">
                  <c:v>0.18032225377373501</c:v>
                </c:pt>
                <c:pt idx="37">
                  <c:v>0.15085447341269301</c:v>
                </c:pt>
                <c:pt idx="38">
                  <c:v>0.16082252430194499</c:v>
                </c:pt>
                <c:pt idx="39">
                  <c:v>0.126702006432939</c:v>
                </c:pt>
              </c:numCache>
            </c:numRef>
          </c:val>
          <c:smooth val="0"/>
          <c:extLst>
            <c:ext xmlns:c16="http://schemas.microsoft.com/office/drawing/2014/chart" uri="{C3380CC4-5D6E-409C-BE32-E72D297353CC}">
              <c16:uniqueId val="{0000001D-8314-4C50-8DEA-398930B25B03}"/>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270450568678915"/>
          <c:h val="5.21205443889149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32321741032371E-2"/>
          <c:y val="3.8144771558690387E-2"/>
          <c:w val="0.93237122703412079"/>
          <c:h val="0.80236366520740843"/>
        </c:manualLayout>
      </c:layout>
      <c:barChart>
        <c:barDir val="col"/>
        <c:grouping val="clustered"/>
        <c:varyColors val="0"/>
        <c:ser>
          <c:idx val="0"/>
          <c:order val="0"/>
          <c:tx>
            <c:strRef>
              <c:f>'9.'!$C$4</c:f>
              <c:strCache>
                <c:ptCount val="1"/>
                <c:pt idx="0">
                  <c:v>2022</c:v>
                </c:pt>
              </c:strCache>
            </c:strRef>
          </c:tx>
          <c:spPr>
            <a:solidFill>
              <a:schemeClr val="accent1"/>
            </a:solidFill>
            <a:ln>
              <a:noFill/>
            </a:ln>
            <a:effectLst/>
          </c:spPr>
          <c:invertIfNegative val="0"/>
          <c:cat>
            <c:strRef>
              <c:f>'9.'!$B$5:$B$14</c:f>
              <c:strCache>
                <c:ptCount val="10"/>
                <c:pt idx="0">
                  <c:v>DE</c:v>
                </c:pt>
                <c:pt idx="1">
                  <c:v>CZ</c:v>
                </c:pt>
                <c:pt idx="2">
                  <c:v>AT</c:v>
                </c:pt>
                <c:pt idx="3">
                  <c:v>SI</c:v>
                </c:pt>
                <c:pt idx="4">
                  <c:v>HR</c:v>
                </c:pt>
                <c:pt idx="5">
                  <c:v>SK</c:v>
                </c:pt>
                <c:pt idx="6">
                  <c:v>BG</c:v>
                </c:pt>
                <c:pt idx="7">
                  <c:v>HU</c:v>
                </c:pt>
                <c:pt idx="8">
                  <c:v>RS</c:v>
                </c:pt>
                <c:pt idx="9">
                  <c:v>RO</c:v>
                </c:pt>
              </c:strCache>
            </c:strRef>
          </c:cat>
          <c:val>
            <c:numRef>
              <c:f>'9.'!$C$5:$C$14</c:f>
              <c:numCache>
                <c:formatCode>#\ ##0.##########</c:formatCode>
                <c:ptCount val="10"/>
                <c:pt idx="0">
                  <c:v>1.1000000000000001</c:v>
                </c:pt>
                <c:pt idx="1">
                  <c:v>0.8</c:v>
                </c:pt>
                <c:pt idx="2">
                  <c:v>0.8</c:v>
                </c:pt>
                <c:pt idx="3">
                  <c:v>0.8</c:v>
                </c:pt>
                <c:pt idx="4">
                  <c:v>0.7</c:v>
                </c:pt>
                <c:pt idx="5">
                  <c:v>0.6</c:v>
                </c:pt>
                <c:pt idx="6">
                  <c:v>0.4</c:v>
                </c:pt>
                <c:pt idx="7">
                  <c:v>0.4</c:v>
                </c:pt>
                <c:pt idx="8">
                  <c:v>0.4</c:v>
                </c:pt>
                <c:pt idx="9">
                  <c:v>0.3</c:v>
                </c:pt>
              </c:numCache>
            </c:numRef>
          </c:val>
          <c:extLst>
            <c:ext xmlns:c16="http://schemas.microsoft.com/office/drawing/2014/chart" uri="{C3380CC4-5D6E-409C-BE32-E72D297353CC}">
              <c16:uniqueId val="{00000000-4FC1-4760-AA67-1BB89CB82F73}"/>
            </c:ext>
          </c:extLst>
        </c:ser>
        <c:dLbls>
          <c:showLegendKey val="0"/>
          <c:showVal val="0"/>
          <c:showCatName val="0"/>
          <c:showSerName val="0"/>
          <c:showPercent val="0"/>
          <c:showBubbleSize val="0"/>
        </c:dLbls>
        <c:gapWidth val="219"/>
        <c:overlap val="-27"/>
        <c:axId val="755553984"/>
        <c:axId val="755544864"/>
      </c:barChart>
      <c:lineChart>
        <c:grouping val="standard"/>
        <c:varyColors val="0"/>
        <c:ser>
          <c:idx val="1"/>
          <c:order val="1"/>
          <c:tx>
            <c:strRef>
              <c:f>'9.'!$D$4</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'9.'!$B$5:$B$14</c:f>
              <c:strCache>
                <c:ptCount val="10"/>
                <c:pt idx="0">
                  <c:v>DE</c:v>
                </c:pt>
                <c:pt idx="1">
                  <c:v>CZ</c:v>
                </c:pt>
                <c:pt idx="2">
                  <c:v>AT</c:v>
                </c:pt>
                <c:pt idx="3">
                  <c:v>SI</c:v>
                </c:pt>
                <c:pt idx="4">
                  <c:v>HR</c:v>
                </c:pt>
                <c:pt idx="5">
                  <c:v>SK</c:v>
                </c:pt>
                <c:pt idx="6">
                  <c:v>BG</c:v>
                </c:pt>
                <c:pt idx="7">
                  <c:v>HU</c:v>
                </c:pt>
                <c:pt idx="8">
                  <c:v>RS</c:v>
                </c:pt>
                <c:pt idx="9">
                  <c:v>RO</c:v>
                </c:pt>
              </c:strCache>
            </c:strRef>
          </c:cat>
          <c:val>
            <c:numRef>
              <c:f>'9.'!$D$5:$D$14</c:f>
              <c:numCache>
                <c:formatCode>#\ ##0.##########</c:formatCode>
                <c:ptCount val="10"/>
                <c:pt idx="0">
                  <c:v>1.2</c:v>
                </c:pt>
                <c:pt idx="1">
                  <c:v>0.9</c:v>
                </c:pt>
                <c:pt idx="2">
                  <c:v>0.9</c:v>
                </c:pt>
                <c:pt idx="3">
                  <c:v>0.8</c:v>
                </c:pt>
                <c:pt idx="4">
                  <c:v>0.5</c:v>
                </c:pt>
                <c:pt idx="5">
                  <c:v>0.7</c:v>
                </c:pt>
                <c:pt idx="6">
                  <c:v>0.5</c:v>
                </c:pt>
                <c:pt idx="7">
                  <c:v>0.3</c:v>
                </c:pt>
                <c:pt idx="8">
                  <c:v>0.6</c:v>
                </c:pt>
                <c:pt idx="9">
                  <c:v>0.2</c:v>
                </c:pt>
              </c:numCache>
            </c:numRef>
          </c:val>
          <c:smooth val="0"/>
          <c:extLst>
            <c:ext xmlns:c16="http://schemas.microsoft.com/office/drawing/2014/chart" uri="{C3380CC4-5D6E-409C-BE32-E72D297353CC}">
              <c16:uniqueId val="{00000001-4FC1-4760-AA67-1BB89CB82F73}"/>
            </c:ext>
          </c:extLst>
        </c:ser>
        <c:ser>
          <c:idx val="2"/>
          <c:order val="2"/>
          <c:tx>
            <c:strRef>
              <c:f>'9.'!$E$4</c:f>
              <c:strCache>
                <c:ptCount val="1"/>
                <c:pt idx="0">
                  <c:v>2013</c:v>
                </c:pt>
              </c:strCache>
            </c:strRef>
          </c:tx>
          <c:spPr>
            <a:ln w="28575" cap="rnd">
              <a:noFill/>
              <a:round/>
            </a:ln>
            <a:effectLst/>
          </c:spPr>
          <c:marker>
            <c:symbol val="triangle"/>
            <c:size val="7"/>
            <c:spPr>
              <a:solidFill>
                <a:schemeClr val="accent2"/>
              </a:solidFill>
              <a:ln w="9525">
                <a:solidFill>
                  <a:schemeClr val="accent2"/>
                </a:solidFill>
              </a:ln>
              <a:effectLst/>
            </c:spPr>
          </c:marker>
          <c:cat>
            <c:strRef>
              <c:f>'9.'!$B$5:$B$14</c:f>
              <c:strCache>
                <c:ptCount val="10"/>
                <c:pt idx="0">
                  <c:v>DE</c:v>
                </c:pt>
                <c:pt idx="1">
                  <c:v>CZ</c:v>
                </c:pt>
                <c:pt idx="2">
                  <c:v>AT</c:v>
                </c:pt>
                <c:pt idx="3">
                  <c:v>SI</c:v>
                </c:pt>
                <c:pt idx="4">
                  <c:v>HR</c:v>
                </c:pt>
                <c:pt idx="5">
                  <c:v>SK</c:v>
                </c:pt>
                <c:pt idx="6">
                  <c:v>BG</c:v>
                </c:pt>
                <c:pt idx="7">
                  <c:v>HU</c:v>
                </c:pt>
                <c:pt idx="8">
                  <c:v>RS</c:v>
                </c:pt>
                <c:pt idx="9">
                  <c:v>RO</c:v>
                </c:pt>
              </c:strCache>
            </c:strRef>
          </c:cat>
          <c:val>
            <c:numRef>
              <c:f>'9.'!$E$5:$E$14</c:f>
              <c:numCache>
                <c:formatCode>#\ ##0.##########</c:formatCode>
                <c:ptCount val="10"/>
                <c:pt idx="0">
                  <c:v>1.2</c:v>
                </c:pt>
                <c:pt idx="1">
                  <c:v>0.8</c:v>
                </c:pt>
                <c:pt idx="2">
                  <c:v>0.9</c:v>
                </c:pt>
                <c:pt idx="3">
                  <c:v>1.7</c:v>
                </c:pt>
                <c:pt idx="4">
                  <c:v>0.5</c:v>
                </c:pt>
                <c:pt idx="5" formatCode="#\ ##0.0">
                  <c:v>1</c:v>
                </c:pt>
                <c:pt idx="6">
                  <c:v>0.4</c:v>
                </c:pt>
                <c:pt idx="7">
                  <c:v>0.3</c:v>
                </c:pt>
                <c:pt idx="8">
                  <c:v>0.3</c:v>
                </c:pt>
                <c:pt idx="9">
                  <c:v>0.7</c:v>
                </c:pt>
              </c:numCache>
            </c:numRef>
          </c:val>
          <c:smooth val="0"/>
          <c:extLst>
            <c:ext xmlns:c16="http://schemas.microsoft.com/office/drawing/2014/chart" uri="{C3380CC4-5D6E-409C-BE32-E72D297353CC}">
              <c16:uniqueId val="{00000002-4FC1-4760-AA67-1BB89CB82F73}"/>
            </c:ext>
          </c:extLst>
        </c:ser>
        <c:dLbls>
          <c:showLegendKey val="0"/>
          <c:showVal val="0"/>
          <c:showCatName val="0"/>
          <c:showSerName val="0"/>
          <c:showPercent val="0"/>
          <c:showBubbleSize val="0"/>
        </c:dLbls>
        <c:marker val="1"/>
        <c:smooth val="0"/>
        <c:axId val="755553984"/>
        <c:axId val="755544864"/>
      </c:lineChart>
      <c:catAx>
        <c:axId val="7555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44864"/>
        <c:crosses val="autoZero"/>
        <c:auto val="1"/>
        <c:lblAlgn val="ctr"/>
        <c:lblOffset val="100"/>
        <c:noMultiLvlLbl val="0"/>
      </c:catAx>
      <c:valAx>
        <c:axId val="755544864"/>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53984"/>
        <c:crosses val="autoZero"/>
        <c:crossBetween val="between"/>
      </c:valAx>
      <c:spPr>
        <a:noFill/>
        <a:ln>
          <a:noFill/>
        </a:ln>
        <a:effectLst/>
      </c:spPr>
    </c:plotArea>
    <c:legend>
      <c:legendPos val="b"/>
      <c:layout>
        <c:manualLayout>
          <c:xMode val="edge"/>
          <c:yMode val="edge"/>
          <c:x val="0.40892133797498026"/>
          <c:y val="5.4081552926060636E-2"/>
          <c:w val="0.26619868216583181"/>
          <c:h val="5.8517956849170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sk-SK"/>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'10.'!$B$3</c:f>
              <c:strCache>
                <c:ptCount val="1"/>
                <c:pt idx="0">
                  <c:v>2022</c:v>
                </c:pt>
              </c:strCache>
            </c:strRef>
          </c:tx>
          <c:spPr>
            <a:solidFill>
              <a:schemeClr val="accent1"/>
            </a:solidFill>
            <a:ln>
              <a:noFill/>
            </a:ln>
            <a:effectLst/>
          </c:spPr>
          <c:invertIfNegative val="0"/>
          <c:cat>
            <c:strRef>
              <c:f>'10.'!$A$4:$A$17</c:f>
              <c:strCache>
                <c:ptCount val="14"/>
                <c:pt idx="0">
                  <c:v>AT</c:v>
                </c:pt>
                <c:pt idx="1">
                  <c:v>DE</c:v>
                </c:pt>
                <c:pt idx="2">
                  <c:v>SI</c:v>
                </c:pt>
                <c:pt idx="3">
                  <c:v>HU</c:v>
                </c:pt>
                <c:pt idx="4">
                  <c:v>CZ</c:v>
                </c:pt>
                <c:pt idx="5">
                  <c:v>SK</c:v>
                </c:pt>
                <c:pt idx="6">
                  <c:v>BG</c:v>
                </c:pt>
                <c:pt idx="7">
                  <c:v>HR</c:v>
                </c:pt>
                <c:pt idx="8">
                  <c:v>RS</c:v>
                </c:pt>
                <c:pt idx="9">
                  <c:v>RO</c:v>
                </c:pt>
                <c:pt idx="10">
                  <c:v>MD</c:v>
                </c:pt>
                <c:pt idx="11">
                  <c:v>ME</c:v>
                </c:pt>
                <c:pt idx="12">
                  <c:v>UA</c:v>
                </c:pt>
                <c:pt idx="13">
                  <c:v>BA</c:v>
                </c:pt>
              </c:strCache>
            </c:strRef>
          </c:cat>
          <c:val>
            <c:numRef>
              <c:f>'10.'!$B$4:$B$17</c:f>
              <c:numCache>
                <c:formatCode>General</c:formatCode>
                <c:ptCount val="14"/>
                <c:pt idx="0">
                  <c:v>6705.9243500000002</c:v>
                </c:pt>
                <c:pt idx="1">
                  <c:v>5811.3587500000003</c:v>
                </c:pt>
                <c:pt idx="2">
                  <c:v>5352.8912499999997</c:v>
                </c:pt>
                <c:pt idx="3">
                  <c:v>4723.61852</c:v>
                </c:pt>
                <c:pt idx="4">
                  <c:v>4706.0992100000003</c:v>
                </c:pt>
                <c:pt idx="5">
                  <c:v>3381.50929</c:v>
                </c:pt>
                <c:pt idx="6">
                  <c:v>2558.9654399999999</c:v>
                </c:pt>
                <c:pt idx="7">
                  <c:v>2453.0018700000001</c:v>
                </c:pt>
                <c:pt idx="8">
                  <c:v>2349.6768099999999</c:v>
                </c:pt>
                <c:pt idx="9">
                  <c:v>993.62640999999996</c:v>
                </c:pt>
                <c:pt idx="10">
                  <c:v>768.02220999999997</c:v>
                </c:pt>
                <c:pt idx="11">
                  <c:v>743.38010999999995</c:v>
                </c:pt>
                <c:pt idx="12">
                  <c:v>580.81065999999998</c:v>
                </c:pt>
                <c:pt idx="13">
                  <c:v>535.00491</c:v>
                </c:pt>
              </c:numCache>
            </c:numRef>
          </c:val>
          <c:extLst>
            <c:ext xmlns:c16="http://schemas.microsoft.com/office/drawing/2014/chart" uri="{C3380CC4-5D6E-409C-BE32-E72D297353CC}">
              <c16:uniqueId val="{00000000-80B1-4528-BAFB-043F56A3FB97}"/>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'10.'!$C$3</c:f>
              <c:strCache>
                <c:ptCount val="1"/>
                <c:pt idx="0">
                  <c:v>2017</c:v>
                </c:pt>
              </c:strCache>
            </c:strRef>
          </c:tx>
          <c:spPr>
            <a:ln w="25400" cap="rnd">
              <a:noFill/>
              <a:round/>
            </a:ln>
            <a:effectLst/>
          </c:spPr>
          <c:marker>
            <c:symbol val="triangle"/>
            <c:size val="8"/>
            <c:spPr>
              <a:solidFill>
                <a:srgbClr val="FFFF00"/>
              </a:solidFill>
              <a:ln w="9525">
                <a:solidFill>
                  <a:srgbClr val="FFFF00"/>
                </a:solidFill>
              </a:ln>
              <a:effectLst/>
            </c:spPr>
          </c:marker>
          <c:cat>
            <c:strRef>
              <c:f>'10.'!$A$4:$A$17</c:f>
              <c:strCache>
                <c:ptCount val="14"/>
                <c:pt idx="0">
                  <c:v>AT</c:v>
                </c:pt>
                <c:pt idx="1">
                  <c:v>DE</c:v>
                </c:pt>
                <c:pt idx="2">
                  <c:v>SI</c:v>
                </c:pt>
                <c:pt idx="3">
                  <c:v>HU</c:v>
                </c:pt>
                <c:pt idx="4">
                  <c:v>CZ</c:v>
                </c:pt>
                <c:pt idx="5">
                  <c:v>SK</c:v>
                </c:pt>
                <c:pt idx="6">
                  <c:v>BG</c:v>
                </c:pt>
                <c:pt idx="7">
                  <c:v>HR</c:v>
                </c:pt>
                <c:pt idx="8">
                  <c:v>RS</c:v>
                </c:pt>
                <c:pt idx="9">
                  <c:v>RO</c:v>
                </c:pt>
                <c:pt idx="10">
                  <c:v>MD</c:v>
                </c:pt>
                <c:pt idx="11">
                  <c:v>ME</c:v>
                </c:pt>
                <c:pt idx="12">
                  <c:v>UA</c:v>
                </c:pt>
                <c:pt idx="13">
                  <c:v>BA</c:v>
                </c:pt>
              </c:strCache>
            </c:strRef>
          </c:cat>
          <c:val>
            <c:numRef>
              <c:f>'10.'!$C$4:$C$17</c:f>
              <c:numCache>
                <c:formatCode>General</c:formatCode>
                <c:ptCount val="14"/>
                <c:pt idx="0">
                  <c:v>5416.8936999999996</c:v>
                </c:pt>
                <c:pt idx="1">
                  <c:v>5087.2542700000004</c:v>
                </c:pt>
                <c:pt idx="2">
                  <c:v>4440.84494</c:v>
                </c:pt>
                <c:pt idx="3">
                  <c:v>2901.0154299999999</c:v>
                </c:pt>
                <c:pt idx="4">
                  <c:v>3721.1221300000002</c:v>
                </c:pt>
                <c:pt idx="5">
                  <c:v>2801.07321</c:v>
                </c:pt>
                <c:pt idx="6">
                  <c:v>2092.08124</c:v>
                </c:pt>
                <c:pt idx="7">
                  <c:v>1856.8118899999999</c:v>
                </c:pt>
                <c:pt idx="8">
                  <c:v>2067.73261</c:v>
                </c:pt>
                <c:pt idx="9">
                  <c:v>887.30938000000003</c:v>
                </c:pt>
                <c:pt idx="10">
                  <c:v>923.49386000000004</c:v>
                </c:pt>
                <c:pt idx="11">
                  <c:v>696.82667000000004</c:v>
                </c:pt>
                <c:pt idx="12">
                  <c:v>994.07744000000002</c:v>
                </c:pt>
                <c:pt idx="13">
                  <c:v>470.16901999999999</c:v>
                </c:pt>
              </c:numCache>
            </c:numRef>
          </c:val>
          <c:smooth val="0"/>
          <c:extLst>
            <c:ext xmlns:c16="http://schemas.microsoft.com/office/drawing/2014/chart" uri="{C3380CC4-5D6E-409C-BE32-E72D297353CC}">
              <c16:uniqueId val="{00000001-80B1-4528-BAFB-043F56A3FB97}"/>
            </c:ext>
          </c:extLst>
        </c:ser>
        <c:ser>
          <c:idx val="2"/>
          <c:order val="2"/>
          <c:tx>
            <c:strRef>
              <c:f>'10.'!$D$3</c:f>
              <c:strCache>
                <c:ptCount val="1"/>
                <c:pt idx="0">
                  <c:v>2010</c:v>
                </c:pt>
              </c:strCache>
            </c:strRef>
          </c:tx>
          <c:spPr>
            <a:ln w="25400" cap="rnd">
              <a:noFill/>
              <a:round/>
            </a:ln>
            <a:effectLst/>
          </c:spPr>
          <c:marker>
            <c:symbol val="triangle"/>
            <c:size val="8"/>
            <c:spPr>
              <a:solidFill>
                <a:schemeClr val="accent2"/>
              </a:solidFill>
              <a:ln w="9525">
                <a:solidFill>
                  <a:schemeClr val="accent2"/>
                </a:solidFill>
              </a:ln>
              <a:effectLst/>
            </c:spPr>
          </c:marker>
          <c:cat>
            <c:strRef>
              <c:f>'10.'!$A$4:$A$17</c:f>
              <c:strCache>
                <c:ptCount val="14"/>
                <c:pt idx="0">
                  <c:v>AT</c:v>
                </c:pt>
                <c:pt idx="1">
                  <c:v>DE</c:v>
                </c:pt>
                <c:pt idx="2">
                  <c:v>SI</c:v>
                </c:pt>
                <c:pt idx="3">
                  <c:v>HU</c:v>
                </c:pt>
                <c:pt idx="4">
                  <c:v>CZ</c:v>
                </c:pt>
                <c:pt idx="5">
                  <c:v>SK</c:v>
                </c:pt>
                <c:pt idx="6">
                  <c:v>BG</c:v>
                </c:pt>
                <c:pt idx="7">
                  <c:v>HR</c:v>
                </c:pt>
                <c:pt idx="8">
                  <c:v>RS</c:v>
                </c:pt>
                <c:pt idx="9">
                  <c:v>RO</c:v>
                </c:pt>
                <c:pt idx="10">
                  <c:v>MD</c:v>
                </c:pt>
                <c:pt idx="11">
                  <c:v>ME</c:v>
                </c:pt>
                <c:pt idx="12">
                  <c:v>UA</c:v>
                </c:pt>
                <c:pt idx="13">
                  <c:v>BA</c:v>
                </c:pt>
              </c:strCache>
            </c:strRef>
          </c:cat>
          <c:val>
            <c:numRef>
              <c:f>'10.'!$D$4:$D$17</c:f>
              <c:numCache>
                <c:formatCode>General</c:formatCode>
                <c:ptCount val="14"/>
                <c:pt idx="0">
                  <c:v>4380.4341000000004</c:v>
                </c:pt>
                <c:pt idx="1">
                  <c:v>4035.2135199999998</c:v>
                </c:pt>
                <c:pt idx="2">
                  <c:v>3755.1961200000001</c:v>
                </c:pt>
                <c:pt idx="3">
                  <c:v>2133.98297</c:v>
                </c:pt>
                <c:pt idx="4">
                  <c:v>2798.94598</c:v>
                </c:pt>
                <c:pt idx="5">
                  <c:v>2814.9679700000002</c:v>
                </c:pt>
                <c:pt idx="6">
                  <c:v>1441.6578300000001</c:v>
                </c:pt>
                <c:pt idx="7">
                  <c:v>1623.3439800000001</c:v>
                </c:pt>
                <c:pt idx="8">
                  <c:v>1503.41256</c:v>
                </c:pt>
                <c:pt idx="9">
                  <c:v>969.45020999999997</c:v>
                </c:pt>
                <c:pt idx="10">
                  <c:v>760.16606000000002</c:v>
                </c:pt>
                <c:pt idx="11">
                  <c:v>643.84551999999996</c:v>
                </c:pt>
                <c:pt idx="12">
                  <c:v>1328.3977</c:v>
                </c:pt>
                <c:pt idx="13">
                  <c:v>155.65493000000001</c:v>
                </c:pt>
              </c:numCache>
            </c:numRef>
          </c:val>
          <c:smooth val="0"/>
          <c:extLst>
            <c:ext xmlns:c16="http://schemas.microsoft.com/office/drawing/2014/chart" uri="{C3380CC4-5D6E-409C-BE32-E72D297353CC}">
              <c16:uniqueId val="{00000002-80B1-4528-BAFB-043F56A3FB97}"/>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8141694216477769"/>
          <c:h val="5.67060584481958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'11.'!$B$2</c:f>
              <c:strCache>
                <c:ptCount val="1"/>
                <c:pt idx="0">
                  <c:v>2022</c:v>
                </c:pt>
              </c:strCache>
            </c:strRef>
          </c:tx>
          <c:spPr>
            <a:solidFill>
              <a:schemeClr val="accent1"/>
            </a:solidFill>
            <a:ln>
              <a:noFill/>
            </a:ln>
            <a:effectLst/>
          </c:spPr>
          <c:invertIfNegative val="0"/>
          <c:cat>
            <c:strRef>
              <c:f>'11.'!$A$3:$A$16</c:f>
              <c:strCache>
                <c:ptCount val="14"/>
                <c:pt idx="0">
                  <c:v>RS</c:v>
                </c:pt>
                <c:pt idx="1">
                  <c:v>ME</c:v>
                </c:pt>
                <c:pt idx="2">
                  <c:v>MD</c:v>
                </c:pt>
                <c:pt idx="3">
                  <c:v>BA</c:v>
                </c:pt>
                <c:pt idx="4">
                  <c:v>HR</c:v>
                </c:pt>
                <c:pt idx="5">
                  <c:v>BG</c:v>
                </c:pt>
                <c:pt idx="6">
                  <c:v>UA</c:v>
                </c:pt>
                <c:pt idx="7">
                  <c:v>RO</c:v>
                </c:pt>
                <c:pt idx="8">
                  <c:v>SK</c:v>
                </c:pt>
                <c:pt idx="9">
                  <c:v>SI</c:v>
                </c:pt>
                <c:pt idx="10">
                  <c:v>AT</c:v>
                </c:pt>
                <c:pt idx="11">
                  <c:v>DE</c:v>
                </c:pt>
                <c:pt idx="12">
                  <c:v>HU</c:v>
                </c:pt>
                <c:pt idx="13">
                  <c:v>CZ</c:v>
                </c:pt>
              </c:strCache>
            </c:strRef>
          </c:cat>
          <c:val>
            <c:numRef>
              <c:f>'11.'!$B$3:$B$16</c:f>
              <c:numCache>
                <c:formatCode>General</c:formatCode>
                <c:ptCount val="14"/>
                <c:pt idx="0">
                  <c:v>52.47</c:v>
                </c:pt>
                <c:pt idx="1">
                  <c:v>52.08</c:v>
                </c:pt>
                <c:pt idx="2">
                  <c:v>50.87</c:v>
                </c:pt>
                <c:pt idx="3">
                  <c:v>49.05</c:v>
                </c:pt>
                <c:pt idx="4">
                  <c:v>48.44</c:v>
                </c:pt>
                <c:pt idx="5">
                  <c:v>46.92</c:v>
                </c:pt>
                <c:pt idx="6">
                  <c:v>46.39</c:v>
                </c:pt>
                <c:pt idx="7">
                  <c:v>46.11</c:v>
                </c:pt>
                <c:pt idx="8">
                  <c:v>39.97</c:v>
                </c:pt>
                <c:pt idx="9">
                  <c:v>35.03</c:v>
                </c:pt>
                <c:pt idx="10">
                  <c:v>31.25</c:v>
                </c:pt>
                <c:pt idx="11">
                  <c:v>29.36</c:v>
                </c:pt>
                <c:pt idx="12">
                  <c:v>28.76</c:v>
                </c:pt>
                <c:pt idx="13">
                  <c:v>27.69</c:v>
                </c:pt>
              </c:numCache>
            </c:numRef>
          </c:val>
          <c:extLst>
            <c:ext xmlns:c16="http://schemas.microsoft.com/office/drawing/2014/chart" uri="{C3380CC4-5D6E-409C-BE32-E72D297353CC}">
              <c16:uniqueId val="{00000000-5896-4C5E-954D-8E4B013FD168}"/>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'11.'!$C$2</c:f>
              <c:strCache>
                <c:ptCount val="1"/>
                <c:pt idx="0">
                  <c:v>2017</c:v>
                </c:pt>
              </c:strCache>
            </c:strRef>
          </c:tx>
          <c:spPr>
            <a:ln w="25400" cap="rnd">
              <a:noFill/>
              <a:round/>
            </a:ln>
            <a:effectLst/>
          </c:spPr>
          <c:marker>
            <c:symbol val="triangle"/>
            <c:size val="8"/>
            <c:spPr>
              <a:solidFill>
                <a:srgbClr val="FFFF00"/>
              </a:solidFill>
              <a:ln w="9525">
                <a:solidFill>
                  <a:srgbClr val="FFFF00"/>
                </a:solidFill>
              </a:ln>
              <a:effectLst/>
            </c:spPr>
          </c:marker>
          <c:cat>
            <c:strRef>
              <c:f>'11.'!$A$3:$A$16</c:f>
              <c:strCache>
                <c:ptCount val="14"/>
                <c:pt idx="0">
                  <c:v>RS</c:v>
                </c:pt>
                <c:pt idx="1">
                  <c:v>ME</c:v>
                </c:pt>
                <c:pt idx="2">
                  <c:v>MD</c:v>
                </c:pt>
                <c:pt idx="3">
                  <c:v>BA</c:v>
                </c:pt>
                <c:pt idx="4">
                  <c:v>HR</c:v>
                </c:pt>
                <c:pt idx="5">
                  <c:v>BG</c:v>
                </c:pt>
                <c:pt idx="6">
                  <c:v>UA</c:v>
                </c:pt>
                <c:pt idx="7">
                  <c:v>RO</c:v>
                </c:pt>
                <c:pt idx="8">
                  <c:v>SK</c:v>
                </c:pt>
                <c:pt idx="9">
                  <c:v>SI</c:v>
                </c:pt>
                <c:pt idx="10">
                  <c:v>AT</c:v>
                </c:pt>
                <c:pt idx="11">
                  <c:v>DE</c:v>
                </c:pt>
                <c:pt idx="12">
                  <c:v>HU</c:v>
                </c:pt>
                <c:pt idx="13">
                  <c:v>CZ</c:v>
                </c:pt>
              </c:strCache>
            </c:strRef>
          </c:cat>
          <c:val>
            <c:numRef>
              <c:f>'11.'!$C$3:$C$16</c:f>
              <c:numCache>
                <c:formatCode>General</c:formatCode>
                <c:ptCount val="14"/>
                <c:pt idx="0">
                  <c:v>50.04</c:v>
                </c:pt>
                <c:pt idx="1">
                  <c:v>49.87</c:v>
                </c:pt>
                <c:pt idx="2">
                  <c:v>48.49</c:v>
                </c:pt>
                <c:pt idx="3">
                  <c:v>46.82</c:v>
                </c:pt>
                <c:pt idx="4">
                  <c:v>48.42</c:v>
                </c:pt>
                <c:pt idx="5">
                  <c:v>47.37</c:v>
                </c:pt>
                <c:pt idx="6">
                  <c:v>44.67</c:v>
                </c:pt>
                <c:pt idx="7">
                  <c:v>46.74</c:v>
                </c:pt>
                <c:pt idx="8">
                  <c:v>41.92</c:v>
                </c:pt>
                <c:pt idx="9">
                  <c:v>32.31</c:v>
                </c:pt>
                <c:pt idx="10">
                  <c:v>30.06</c:v>
                </c:pt>
                <c:pt idx="11">
                  <c:v>27.88</c:v>
                </c:pt>
                <c:pt idx="12">
                  <c:v>30.48</c:v>
                </c:pt>
                <c:pt idx="13">
                  <c:v>26.77</c:v>
                </c:pt>
              </c:numCache>
            </c:numRef>
          </c:val>
          <c:smooth val="0"/>
          <c:extLst>
            <c:ext xmlns:c16="http://schemas.microsoft.com/office/drawing/2014/chart" uri="{C3380CC4-5D6E-409C-BE32-E72D297353CC}">
              <c16:uniqueId val="{00000001-5896-4C5E-954D-8E4B013FD168}"/>
            </c:ext>
          </c:extLst>
        </c:ser>
        <c:ser>
          <c:idx val="2"/>
          <c:order val="2"/>
          <c:tx>
            <c:strRef>
              <c:f>'11.'!$D$2</c:f>
              <c:strCache>
                <c:ptCount val="1"/>
                <c:pt idx="0">
                  <c:v>2010</c:v>
                </c:pt>
              </c:strCache>
            </c:strRef>
          </c:tx>
          <c:spPr>
            <a:ln w="25400" cap="rnd">
              <a:noFill/>
              <a:round/>
            </a:ln>
            <a:effectLst/>
          </c:spPr>
          <c:marker>
            <c:symbol val="triangle"/>
            <c:size val="8"/>
            <c:spPr>
              <a:solidFill>
                <a:schemeClr val="accent2"/>
              </a:solidFill>
              <a:ln w="9525">
                <a:solidFill>
                  <a:schemeClr val="accent2"/>
                </a:solidFill>
              </a:ln>
              <a:effectLst/>
            </c:spPr>
          </c:marker>
          <c:cat>
            <c:strRef>
              <c:f>'11.'!$A$3:$A$16</c:f>
              <c:strCache>
                <c:ptCount val="14"/>
                <c:pt idx="0">
                  <c:v>RS</c:v>
                </c:pt>
                <c:pt idx="1">
                  <c:v>ME</c:v>
                </c:pt>
                <c:pt idx="2">
                  <c:v>MD</c:v>
                </c:pt>
                <c:pt idx="3">
                  <c:v>BA</c:v>
                </c:pt>
                <c:pt idx="4">
                  <c:v>HR</c:v>
                </c:pt>
                <c:pt idx="5">
                  <c:v>BG</c:v>
                </c:pt>
                <c:pt idx="6">
                  <c:v>UA</c:v>
                </c:pt>
                <c:pt idx="7">
                  <c:v>RO</c:v>
                </c:pt>
                <c:pt idx="8">
                  <c:v>SK</c:v>
                </c:pt>
                <c:pt idx="9">
                  <c:v>SI</c:v>
                </c:pt>
                <c:pt idx="10">
                  <c:v>AT</c:v>
                </c:pt>
                <c:pt idx="11">
                  <c:v>DE</c:v>
                </c:pt>
                <c:pt idx="12">
                  <c:v>HU</c:v>
                </c:pt>
                <c:pt idx="13">
                  <c:v>CZ</c:v>
                </c:pt>
              </c:strCache>
            </c:strRef>
          </c:cat>
          <c:val>
            <c:numRef>
              <c:f>'11.'!$D$3:$D$16</c:f>
              <c:numCache>
                <c:formatCode>General</c:formatCode>
                <c:ptCount val="14"/>
                <c:pt idx="0">
                  <c:v>48.82</c:v>
                </c:pt>
                <c:pt idx="1">
                  <c:v>49.87</c:v>
                </c:pt>
                <c:pt idx="2">
                  <c:v>46.83</c:v>
                </c:pt>
                <c:pt idx="3">
                  <c:v>34.54</c:v>
                </c:pt>
                <c:pt idx="4">
                  <c:v>46.93</c:v>
                </c:pt>
                <c:pt idx="5">
                  <c:v>48.59</c:v>
                </c:pt>
                <c:pt idx="6">
                  <c:v>45.17</c:v>
                </c:pt>
                <c:pt idx="7">
                  <c:v>44.03</c:v>
                </c:pt>
                <c:pt idx="8">
                  <c:v>42.38</c:v>
                </c:pt>
                <c:pt idx="9">
                  <c:v>36.36</c:v>
                </c:pt>
                <c:pt idx="10">
                  <c:v>28.98</c:v>
                </c:pt>
                <c:pt idx="11">
                  <c:v>26.8</c:v>
                </c:pt>
                <c:pt idx="12">
                  <c:v>31.98</c:v>
                </c:pt>
                <c:pt idx="13">
                  <c:v>28.09</c:v>
                </c:pt>
              </c:numCache>
            </c:numRef>
          </c:val>
          <c:smooth val="0"/>
          <c:extLst>
            <c:ext xmlns:c16="http://schemas.microsoft.com/office/drawing/2014/chart" uri="{C3380CC4-5D6E-409C-BE32-E72D297353CC}">
              <c16:uniqueId val="{00000002-5896-4C5E-954D-8E4B013FD168}"/>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31527524329580081"/>
          <c:y val="6.2269834793252841E-2"/>
          <c:w val="0.28141694216477769"/>
          <c:h val="5.67060584481958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'12.'!$L$3</c:f>
              <c:strCache>
                <c:ptCount val="1"/>
                <c:pt idx="0">
                  <c:v>2022</c:v>
                </c:pt>
              </c:strCache>
            </c:strRef>
          </c:tx>
          <c:spPr>
            <a:solidFill>
              <a:schemeClr val="tx2">
                <a:lumMod val="25000"/>
                <a:lumOff val="75000"/>
              </a:schemeClr>
            </a:solidFill>
            <a:ln>
              <a:solidFill>
                <a:schemeClr val="tx2">
                  <a:lumMod val="25000"/>
                  <a:lumOff val="75000"/>
                </a:schemeClr>
              </a:solidFill>
            </a:ln>
            <a:effectLst/>
          </c:spPr>
          <c:invertIfNegative val="0"/>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11B0-4A9F-8FDF-A0C4740ED62A}"/>
              </c:ext>
            </c:extLst>
          </c:dPt>
          <c:dPt>
            <c:idx val="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11B0-4A9F-8FDF-A0C4740ED62A}"/>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11B0-4A9F-8FDF-A0C4740ED62A}"/>
              </c:ext>
            </c:extLst>
          </c:dPt>
          <c:dPt>
            <c:idx val="1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11B0-4A9F-8FDF-A0C4740ED62A}"/>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11B0-4A9F-8FDF-A0C4740ED62A}"/>
              </c:ext>
            </c:extLst>
          </c:dPt>
          <c:dPt>
            <c:idx val="2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11B0-4A9F-8FDF-A0C4740ED62A}"/>
              </c:ext>
            </c:extLst>
          </c:dPt>
          <c:dPt>
            <c:idx val="2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11B0-4A9F-8FDF-A0C4740ED62A}"/>
              </c:ext>
            </c:extLst>
          </c:dPt>
          <c:dPt>
            <c:idx val="2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11B0-4A9F-8FDF-A0C4740ED62A}"/>
              </c:ext>
            </c:extLst>
          </c:dPt>
          <c:dPt>
            <c:idx val="2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11B0-4A9F-8FDF-A0C4740ED62A}"/>
              </c:ext>
            </c:extLst>
          </c:dPt>
          <c:cat>
            <c:strRef>
              <c:f>'12.'!$K$4:$K$30</c:f>
              <c:strCache>
                <c:ptCount val="27"/>
                <c:pt idx="0">
                  <c:v>BE</c:v>
                </c:pt>
                <c:pt idx="1">
                  <c:v>EL</c:v>
                </c:pt>
                <c:pt idx="2">
                  <c:v>DE</c:v>
                </c:pt>
                <c:pt idx="3">
                  <c:v>IT</c:v>
                </c:pt>
                <c:pt idx="4">
                  <c:v>FI</c:v>
                </c:pt>
                <c:pt idx="5">
                  <c:v>SE</c:v>
                </c:pt>
                <c:pt idx="6">
                  <c:v>FR</c:v>
                </c:pt>
                <c:pt idx="7">
                  <c:v>AT</c:v>
                </c:pt>
                <c:pt idx="8">
                  <c:v>DK</c:v>
                </c:pt>
                <c:pt idx="9">
                  <c:v>NL</c:v>
                </c:pt>
                <c:pt idx="10">
                  <c:v>SI</c:v>
                </c:pt>
                <c:pt idx="11">
                  <c:v>EE</c:v>
                </c:pt>
                <c:pt idx="12">
                  <c:v>LT</c:v>
                </c:pt>
                <c:pt idx="13">
                  <c:v>IE</c:v>
                </c:pt>
                <c:pt idx="14">
                  <c:v>LU</c:v>
                </c:pt>
                <c:pt idx="15">
                  <c:v>PT</c:v>
                </c:pt>
                <c:pt idx="16">
                  <c:v>CZ</c:v>
                </c:pt>
                <c:pt idx="17">
                  <c:v>HR</c:v>
                </c:pt>
                <c:pt idx="18">
                  <c:v>MT</c:v>
                </c:pt>
                <c:pt idx="19">
                  <c:v>CY</c:v>
                </c:pt>
                <c:pt idx="20">
                  <c:v>ES</c:v>
                </c:pt>
                <c:pt idx="21">
                  <c:v>SK</c:v>
                </c:pt>
                <c:pt idx="22">
                  <c:v>PL</c:v>
                </c:pt>
                <c:pt idx="23">
                  <c:v>LV</c:v>
                </c:pt>
                <c:pt idx="24">
                  <c:v>HU</c:v>
                </c:pt>
                <c:pt idx="25">
                  <c:v>BG</c:v>
                </c:pt>
                <c:pt idx="26">
                  <c:v>RO</c:v>
                </c:pt>
              </c:strCache>
            </c:strRef>
          </c:cat>
          <c:val>
            <c:numRef>
              <c:f>'12.'!$L$4:$L$30</c:f>
              <c:numCache>
                <c:formatCode>#\ ##0.##########</c:formatCode>
                <c:ptCount val="27"/>
                <c:pt idx="0">
                  <c:v>70.3</c:v>
                </c:pt>
                <c:pt idx="1">
                  <c:v>65.5</c:v>
                </c:pt>
                <c:pt idx="2">
                  <c:v>63.4</c:v>
                </c:pt>
                <c:pt idx="3">
                  <c:v>63.1</c:v>
                </c:pt>
                <c:pt idx="4">
                  <c:v>61.5</c:v>
                </c:pt>
                <c:pt idx="5">
                  <c:v>57.6</c:v>
                </c:pt>
                <c:pt idx="6">
                  <c:v>57.4</c:v>
                </c:pt>
                <c:pt idx="7">
                  <c:v>56.7</c:v>
                </c:pt>
                <c:pt idx="8">
                  <c:v>56.7</c:v>
                </c:pt>
                <c:pt idx="9">
                  <c:v>56.3</c:v>
                </c:pt>
                <c:pt idx="10">
                  <c:v>55.4</c:v>
                </c:pt>
                <c:pt idx="11">
                  <c:v>53.2</c:v>
                </c:pt>
                <c:pt idx="12">
                  <c:v>52.6</c:v>
                </c:pt>
                <c:pt idx="13">
                  <c:v>51.4</c:v>
                </c:pt>
                <c:pt idx="14">
                  <c:v>48.8</c:v>
                </c:pt>
                <c:pt idx="15">
                  <c:v>47.4</c:v>
                </c:pt>
                <c:pt idx="16">
                  <c:v>44.2</c:v>
                </c:pt>
                <c:pt idx="17">
                  <c:v>40.6</c:v>
                </c:pt>
                <c:pt idx="18">
                  <c:v>40.200000000000003</c:v>
                </c:pt>
                <c:pt idx="19">
                  <c:v>39.700000000000003</c:v>
                </c:pt>
                <c:pt idx="20">
                  <c:v>35.1</c:v>
                </c:pt>
                <c:pt idx="21">
                  <c:v>34.700000000000003</c:v>
                </c:pt>
                <c:pt idx="22">
                  <c:v>34.6</c:v>
                </c:pt>
                <c:pt idx="23">
                  <c:v>33.1</c:v>
                </c:pt>
                <c:pt idx="24">
                  <c:v>30.2</c:v>
                </c:pt>
                <c:pt idx="25">
                  <c:v>26.1</c:v>
                </c:pt>
                <c:pt idx="26">
                  <c:v>8.8000000000000007</c:v>
                </c:pt>
              </c:numCache>
            </c:numRef>
          </c:val>
          <c:extLst>
            <c:ext xmlns:c16="http://schemas.microsoft.com/office/drawing/2014/chart" uri="{C3380CC4-5D6E-409C-BE32-E72D297353CC}">
              <c16:uniqueId val="{00000012-11B0-4A9F-8FDF-A0C4740ED62A}"/>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'12.'!$M$3</c:f>
              <c:strCache>
                <c:ptCount val="1"/>
                <c:pt idx="0">
                  <c:v>2018</c:v>
                </c:pt>
              </c:strCache>
            </c:strRef>
          </c:tx>
          <c:spPr>
            <a:ln w="25400" cap="rnd">
              <a:noFill/>
              <a:round/>
            </a:ln>
            <a:effectLst/>
          </c:spPr>
          <c:marker>
            <c:symbol val="triangle"/>
            <c:size val="7"/>
            <c:spPr>
              <a:solidFill>
                <a:srgbClr val="FFFF00"/>
              </a:solidFill>
              <a:ln w="9525">
                <a:solidFill>
                  <a:srgbClr val="FFFF00"/>
                </a:solidFill>
              </a:ln>
              <a:effectLst/>
            </c:spPr>
          </c:marker>
          <c:cat>
            <c:strRef>
              <c:f>'12.'!$K$4:$K$30</c:f>
              <c:strCache>
                <c:ptCount val="27"/>
                <c:pt idx="0">
                  <c:v>BE</c:v>
                </c:pt>
                <c:pt idx="1">
                  <c:v>EL</c:v>
                </c:pt>
                <c:pt idx="2">
                  <c:v>DE</c:v>
                </c:pt>
                <c:pt idx="3">
                  <c:v>IT</c:v>
                </c:pt>
                <c:pt idx="4">
                  <c:v>FI</c:v>
                </c:pt>
                <c:pt idx="5">
                  <c:v>SE</c:v>
                </c:pt>
                <c:pt idx="6">
                  <c:v>FR</c:v>
                </c:pt>
                <c:pt idx="7">
                  <c:v>AT</c:v>
                </c:pt>
                <c:pt idx="8">
                  <c:v>DK</c:v>
                </c:pt>
                <c:pt idx="9">
                  <c:v>NL</c:v>
                </c:pt>
                <c:pt idx="10">
                  <c:v>SI</c:v>
                </c:pt>
                <c:pt idx="11">
                  <c:v>EE</c:v>
                </c:pt>
                <c:pt idx="12">
                  <c:v>LT</c:v>
                </c:pt>
                <c:pt idx="13">
                  <c:v>IE</c:v>
                </c:pt>
                <c:pt idx="14">
                  <c:v>LU</c:v>
                </c:pt>
                <c:pt idx="15">
                  <c:v>PT</c:v>
                </c:pt>
                <c:pt idx="16">
                  <c:v>CZ</c:v>
                </c:pt>
                <c:pt idx="17">
                  <c:v>HR</c:v>
                </c:pt>
                <c:pt idx="18">
                  <c:v>MT</c:v>
                </c:pt>
                <c:pt idx="19">
                  <c:v>CY</c:v>
                </c:pt>
                <c:pt idx="20">
                  <c:v>ES</c:v>
                </c:pt>
                <c:pt idx="21">
                  <c:v>SK</c:v>
                </c:pt>
                <c:pt idx="22">
                  <c:v>PL</c:v>
                </c:pt>
                <c:pt idx="23">
                  <c:v>LV</c:v>
                </c:pt>
                <c:pt idx="24">
                  <c:v>HU</c:v>
                </c:pt>
                <c:pt idx="25">
                  <c:v>BG</c:v>
                </c:pt>
                <c:pt idx="26">
                  <c:v>RO</c:v>
                </c:pt>
              </c:strCache>
            </c:strRef>
          </c:cat>
          <c:val>
            <c:numRef>
              <c:f>'12.'!$M$4:$M$30</c:f>
              <c:numCache>
                <c:formatCode>#\ ##0.##########</c:formatCode>
                <c:ptCount val="27"/>
                <c:pt idx="0">
                  <c:v>67.8</c:v>
                </c:pt>
                <c:pt idx="1">
                  <c:v>60.3</c:v>
                </c:pt>
                <c:pt idx="2">
                  <c:v>67.8</c:v>
                </c:pt>
                <c:pt idx="3">
                  <c:v>63.2</c:v>
                </c:pt>
                <c:pt idx="4">
                  <c:v>61.9</c:v>
                </c:pt>
                <c:pt idx="5">
                  <c:v>63.1</c:v>
                </c:pt>
                <c:pt idx="6">
                  <c:v>51.5</c:v>
                </c:pt>
                <c:pt idx="7">
                  <c:v>62.6</c:v>
                </c:pt>
                <c:pt idx="8">
                  <c:v>57.1</c:v>
                </c:pt>
                <c:pt idx="9">
                  <c:v>49.7</c:v>
                </c:pt>
                <c:pt idx="10">
                  <c:v>48.6</c:v>
                </c:pt>
                <c:pt idx="11">
                  <c:v>73.099999999999994</c:v>
                </c:pt>
                <c:pt idx="12">
                  <c:v>50.5</c:v>
                </c:pt>
                <c:pt idx="13">
                  <c:v>45.5</c:v>
                </c:pt>
                <c:pt idx="14">
                  <c:v>50.6</c:v>
                </c:pt>
                <c:pt idx="15">
                  <c:v>37.799999999999997</c:v>
                </c:pt>
                <c:pt idx="16">
                  <c:v>46.8</c:v>
                </c:pt>
                <c:pt idx="17">
                  <c:v>52.5</c:v>
                </c:pt>
                <c:pt idx="18">
                  <c:v>46.5</c:v>
                </c:pt>
                <c:pt idx="19">
                  <c:v>68.2</c:v>
                </c:pt>
                <c:pt idx="20">
                  <c:v>31.1</c:v>
                </c:pt>
                <c:pt idx="21">
                  <c:v>30.5</c:v>
                </c:pt>
                <c:pt idx="22">
                  <c:v>23.7</c:v>
                </c:pt>
                <c:pt idx="23">
                  <c:v>32.9</c:v>
                </c:pt>
                <c:pt idx="24">
                  <c:v>28.7</c:v>
                </c:pt>
                <c:pt idx="25">
                  <c:v>30.1</c:v>
                </c:pt>
                <c:pt idx="26">
                  <c:v>14.6</c:v>
                </c:pt>
              </c:numCache>
            </c:numRef>
          </c:val>
          <c:smooth val="0"/>
          <c:extLst>
            <c:ext xmlns:c16="http://schemas.microsoft.com/office/drawing/2014/chart" uri="{C3380CC4-5D6E-409C-BE32-E72D297353CC}">
              <c16:uniqueId val="{00000013-11B0-4A9F-8FDF-A0C4740ED62A}"/>
            </c:ext>
          </c:extLst>
        </c:ser>
        <c:ser>
          <c:idx val="2"/>
          <c:order val="2"/>
          <c:tx>
            <c:strRef>
              <c:f>'12.'!$N$3</c:f>
              <c:strCache>
                <c:ptCount val="1"/>
                <c:pt idx="0">
                  <c:v>2012</c:v>
                </c:pt>
              </c:strCache>
            </c:strRef>
          </c:tx>
          <c:spPr>
            <a:ln w="25400" cap="rnd">
              <a:noFill/>
              <a:round/>
            </a:ln>
            <a:effectLst/>
          </c:spPr>
          <c:marker>
            <c:symbol val="triangle"/>
            <c:size val="7"/>
            <c:spPr>
              <a:solidFill>
                <a:schemeClr val="accent2"/>
              </a:solidFill>
              <a:ln w="9525">
                <a:solidFill>
                  <a:schemeClr val="accent2"/>
                </a:solidFill>
              </a:ln>
              <a:effectLst/>
            </c:spPr>
          </c:marker>
          <c:cat>
            <c:strRef>
              <c:f>'12.'!$K$4:$K$30</c:f>
              <c:strCache>
                <c:ptCount val="27"/>
                <c:pt idx="0">
                  <c:v>BE</c:v>
                </c:pt>
                <c:pt idx="1">
                  <c:v>EL</c:v>
                </c:pt>
                <c:pt idx="2">
                  <c:v>DE</c:v>
                </c:pt>
                <c:pt idx="3">
                  <c:v>IT</c:v>
                </c:pt>
                <c:pt idx="4">
                  <c:v>FI</c:v>
                </c:pt>
                <c:pt idx="5">
                  <c:v>SE</c:v>
                </c:pt>
                <c:pt idx="6">
                  <c:v>FR</c:v>
                </c:pt>
                <c:pt idx="7">
                  <c:v>AT</c:v>
                </c:pt>
                <c:pt idx="8">
                  <c:v>DK</c:v>
                </c:pt>
                <c:pt idx="9">
                  <c:v>NL</c:v>
                </c:pt>
                <c:pt idx="10">
                  <c:v>SI</c:v>
                </c:pt>
                <c:pt idx="11">
                  <c:v>EE</c:v>
                </c:pt>
                <c:pt idx="12">
                  <c:v>LT</c:v>
                </c:pt>
                <c:pt idx="13">
                  <c:v>IE</c:v>
                </c:pt>
                <c:pt idx="14">
                  <c:v>LU</c:v>
                </c:pt>
                <c:pt idx="15">
                  <c:v>PT</c:v>
                </c:pt>
                <c:pt idx="16">
                  <c:v>CZ</c:v>
                </c:pt>
                <c:pt idx="17">
                  <c:v>HR</c:v>
                </c:pt>
                <c:pt idx="18">
                  <c:v>MT</c:v>
                </c:pt>
                <c:pt idx="19">
                  <c:v>CY</c:v>
                </c:pt>
                <c:pt idx="20">
                  <c:v>ES</c:v>
                </c:pt>
                <c:pt idx="21">
                  <c:v>SK</c:v>
                </c:pt>
                <c:pt idx="22">
                  <c:v>PL</c:v>
                </c:pt>
                <c:pt idx="23">
                  <c:v>LV</c:v>
                </c:pt>
                <c:pt idx="24">
                  <c:v>HU</c:v>
                </c:pt>
                <c:pt idx="25">
                  <c:v>BG</c:v>
                </c:pt>
                <c:pt idx="26">
                  <c:v>RO</c:v>
                </c:pt>
              </c:strCache>
            </c:strRef>
          </c:cat>
          <c:val>
            <c:numRef>
              <c:f>'12.'!$N$4:$N$30</c:f>
              <c:numCache>
                <c:formatCode>#\ ##0.##########</c:formatCode>
                <c:ptCount val="27"/>
                <c:pt idx="0">
                  <c:v>55.9</c:v>
                </c:pt>
                <c:pt idx="1">
                  <c:v>52.3</c:v>
                </c:pt>
                <c:pt idx="2">
                  <c:v>66.900000000000006</c:v>
                </c:pt>
                <c:pt idx="3">
                  <c:v>56.1</c:v>
                </c:pt>
                <c:pt idx="4">
                  <c:v>52.6</c:v>
                </c:pt>
                <c:pt idx="5">
                  <c:v>55.9</c:v>
                </c:pt>
                <c:pt idx="6">
                  <c:v>53.4</c:v>
                </c:pt>
                <c:pt idx="7">
                  <c:v>54.4</c:v>
                </c:pt>
                <c:pt idx="8">
                  <c:v>51.1</c:v>
                </c:pt>
                <c:pt idx="9">
                  <c:v>51.4</c:v>
                </c:pt>
                <c:pt idx="10">
                  <c:v>46.5</c:v>
                </c:pt>
                <c:pt idx="11">
                  <c:v>47.6</c:v>
                </c:pt>
                <c:pt idx="12">
                  <c:v>32.9</c:v>
                </c:pt>
                <c:pt idx="13">
                  <c:v>58.7</c:v>
                </c:pt>
                <c:pt idx="14">
                  <c:v>66.099999999999994</c:v>
                </c:pt>
                <c:pt idx="15">
                  <c:v>54.6</c:v>
                </c:pt>
                <c:pt idx="16">
                  <c:v>43.9</c:v>
                </c:pt>
                <c:pt idx="17">
                  <c:v>37.9</c:v>
                </c:pt>
                <c:pt idx="18">
                  <c:v>51.1</c:v>
                </c:pt>
                <c:pt idx="19">
                  <c:v>42.1</c:v>
                </c:pt>
                <c:pt idx="20">
                  <c:v>33.6</c:v>
                </c:pt>
                <c:pt idx="21" formatCode="#\ ##0.0">
                  <c:v>34</c:v>
                </c:pt>
                <c:pt idx="22" formatCode="#\ ##0.0">
                  <c:v>23</c:v>
                </c:pt>
                <c:pt idx="23">
                  <c:v>30.4</c:v>
                </c:pt>
                <c:pt idx="24">
                  <c:v>32.5</c:v>
                </c:pt>
                <c:pt idx="25">
                  <c:v>27.4</c:v>
                </c:pt>
                <c:pt idx="26">
                  <c:v>20.7</c:v>
                </c:pt>
              </c:numCache>
            </c:numRef>
          </c:val>
          <c:smooth val="0"/>
          <c:extLst>
            <c:ext xmlns:c16="http://schemas.microsoft.com/office/drawing/2014/chart" uri="{C3380CC4-5D6E-409C-BE32-E72D297353CC}">
              <c16:uniqueId val="{00000014-11B0-4A9F-8FDF-A0C4740ED62A}"/>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8927970552743748"/>
          <c:h val="4.971757210445958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5364677936E-2"/>
          <c:y val="2.4609897522611765E-2"/>
          <c:w val="0.92796545593091184"/>
          <c:h val="0.8682950938163212"/>
        </c:manualLayout>
      </c:layout>
      <c:barChart>
        <c:barDir val="col"/>
        <c:grouping val="clustered"/>
        <c:varyColors val="0"/>
        <c:ser>
          <c:idx val="0"/>
          <c:order val="0"/>
          <c:tx>
            <c:strRef>
              <c:f>'13.'!$K$4</c:f>
              <c:strCache>
                <c:ptCount val="1"/>
                <c:pt idx="0">
                  <c:v>2022</c:v>
                </c:pt>
              </c:strCache>
            </c:strRef>
          </c:tx>
          <c:spPr>
            <a:solidFill>
              <a:schemeClr val="tx2">
                <a:lumMod val="25000"/>
                <a:lumOff val="75000"/>
              </a:schemeClr>
            </a:solidFill>
            <a:ln>
              <a:solidFill>
                <a:schemeClr val="tx2">
                  <a:lumMod val="25000"/>
                  <a:lumOff val="75000"/>
                </a:schemeClr>
              </a:solidFill>
            </a:ln>
            <a:effectLst/>
          </c:spPr>
          <c:invertIfNegative val="0"/>
          <c:dPt>
            <c:idx val="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D2EC-43F4-A278-388FAF43ED43}"/>
              </c:ext>
            </c:extLst>
          </c:dPt>
          <c:dPt>
            <c:idx val="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D2EC-43F4-A278-388FAF43ED43}"/>
              </c:ext>
            </c:extLst>
          </c:dPt>
          <c:dPt>
            <c:idx val="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D2EC-43F4-A278-388FAF43ED43}"/>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D2EC-43F4-A278-388FAF43ED43}"/>
              </c:ext>
            </c:extLst>
          </c:dPt>
          <c:dPt>
            <c:idx val="1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D2EC-43F4-A278-388FAF43ED43}"/>
              </c:ext>
            </c:extLst>
          </c:dPt>
          <c:dPt>
            <c:idx val="16"/>
            <c:invertIfNegative val="0"/>
            <c:bubble3D val="0"/>
            <c:spPr>
              <a:solidFill>
                <a:schemeClr val="accent1"/>
              </a:solidFill>
              <a:ln>
                <a:solidFill>
                  <a:schemeClr val="tx2"/>
                </a:solidFill>
              </a:ln>
              <a:effectLst/>
            </c:spPr>
            <c:extLst>
              <c:ext xmlns:c16="http://schemas.microsoft.com/office/drawing/2014/chart" uri="{C3380CC4-5D6E-409C-BE32-E72D297353CC}">
                <c16:uniqueId val="{0000000B-D2EC-43F4-A278-388FAF43ED43}"/>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D2EC-43F4-A278-388FAF43ED43}"/>
              </c:ext>
            </c:extLst>
          </c:dPt>
          <c:dPt>
            <c:idx val="2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D2EC-43F4-A278-388FAF43ED43}"/>
              </c:ext>
            </c:extLst>
          </c:dPt>
          <c:dPt>
            <c:idx val="2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D2EC-43F4-A278-388FAF43ED43}"/>
              </c:ext>
            </c:extLst>
          </c:dPt>
          <c:cat>
            <c:strRef>
              <c:f>'13.'!$J$5:$J$31</c:f>
              <c:strCache>
                <c:ptCount val="27"/>
                <c:pt idx="0">
                  <c:v>SE</c:v>
                </c:pt>
                <c:pt idx="1">
                  <c:v>FI</c:v>
                </c:pt>
                <c:pt idx="2">
                  <c:v>EE</c:v>
                </c:pt>
                <c:pt idx="3">
                  <c:v>BE</c:v>
                </c:pt>
                <c:pt idx="4">
                  <c:v>LU</c:v>
                </c:pt>
                <c:pt idx="5">
                  <c:v>HR</c:v>
                </c:pt>
                <c:pt idx="6">
                  <c:v>NL</c:v>
                </c:pt>
                <c:pt idx="7">
                  <c:v>SI</c:v>
                </c:pt>
                <c:pt idx="8">
                  <c:v>AT</c:v>
                </c:pt>
                <c:pt idx="9">
                  <c:v>FR</c:v>
                </c:pt>
                <c:pt idx="10">
                  <c:v>HU</c:v>
                </c:pt>
                <c:pt idx="11">
                  <c:v>IE</c:v>
                </c:pt>
                <c:pt idx="12">
                  <c:v>EL</c:v>
                </c:pt>
                <c:pt idx="13">
                  <c:v>LT</c:v>
                </c:pt>
                <c:pt idx="14">
                  <c:v>IT</c:v>
                </c:pt>
                <c:pt idx="15">
                  <c:v>DE</c:v>
                </c:pt>
                <c:pt idx="16">
                  <c:v>CZ</c:v>
                </c:pt>
                <c:pt idx="17">
                  <c:v>CY</c:v>
                </c:pt>
                <c:pt idx="18">
                  <c:v>SK</c:v>
                </c:pt>
                <c:pt idx="19">
                  <c:v>ES</c:v>
                </c:pt>
                <c:pt idx="20">
                  <c:v>MT</c:v>
                </c:pt>
                <c:pt idx="21">
                  <c:v>LV</c:v>
                </c:pt>
                <c:pt idx="22">
                  <c:v>PT</c:v>
                </c:pt>
                <c:pt idx="23">
                  <c:v>DK</c:v>
                </c:pt>
                <c:pt idx="24">
                  <c:v>PL</c:v>
                </c:pt>
                <c:pt idx="25">
                  <c:v>RO</c:v>
                </c:pt>
                <c:pt idx="26">
                  <c:v>BG</c:v>
                </c:pt>
              </c:strCache>
            </c:strRef>
          </c:cat>
          <c:val>
            <c:numRef>
              <c:f>'13.'!$K$5:$K$31</c:f>
              <c:numCache>
                <c:formatCode>#\ ##0.##########</c:formatCode>
                <c:ptCount val="27"/>
                <c:pt idx="0">
                  <c:v>46.7</c:v>
                </c:pt>
                <c:pt idx="1">
                  <c:v>41.2</c:v>
                </c:pt>
                <c:pt idx="2">
                  <c:v>36.9</c:v>
                </c:pt>
                <c:pt idx="3">
                  <c:v>35.6</c:v>
                </c:pt>
                <c:pt idx="4">
                  <c:v>32.299999999999997</c:v>
                </c:pt>
                <c:pt idx="5">
                  <c:v>31.9</c:v>
                </c:pt>
                <c:pt idx="6">
                  <c:v>26.4</c:v>
                </c:pt>
                <c:pt idx="7">
                  <c:v>26.1</c:v>
                </c:pt>
                <c:pt idx="8">
                  <c:v>25.6</c:v>
                </c:pt>
                <c:pt idx="9">
                  <c:v>24.6</c:v>
                </c:pt>
                <c:pt idx="10">
                  <c:v>24.3</c:v>
                </c:pt>
                <c:pt idx="11">
                  <c:v>23.4</c:v>
                </c:pt>
                <c:pt idx="12">
                  <c:v>22.9</c:v>
                </c:pt>
                <c:pt idx="13">
                  <c:v>22.8</c:v>
                </c:pt>
                <c:pt idx="14">
                  <c:v>22.1</c:v>
                </c:pt>
                <c:pt idx="15">
                  <c:v>21.4</c:v>
                </c:pt>
                <c:pt idx="16">
                  <c:v>20.3</c:v>
                </c:pt>
                <c:pt idx="17">
                  <c:v>19.100000000000001</c:v>
                </c:pt>
                <c:pt idx="18">
                  <c:v>18.3</c:v>
                </c:pt>
                <c:pt idx="19">
                  <c:v>17.3</c:v>
                </c:pt>
                <c:pt idx="20">
                  <c:v>16.399999999999999</c:v>
                </c:pt>
                <c:pt idx="21">
                  <c:v>16.2</c:v>
                </c:pt>
                <c:pt idx="22">
                  <c:v>16.2</c:v>
                </c:pt>
                <c:pt idx="23">
                  <c:v>15.7</c:v>
                </c:pt>
                <c:pt idx="24">
                  <c:v>12.9</c:v>
                </c:pt>
                <c:pt idx="25">
                  <c:v>11.9</c:v>
                </c:pt>
                <c:pt idx="26">
                  <c:v>9.3000000000000007</c:v>
                </c:pt>
              </c:numCache>
            </c:numRef>
          </c:val>
          <c:extLst>
            <c:ext xmlns:c16="http://schemas.microsoft.com/office/drawing/2014/chart" uri="{C3380CC4-5D6E-409C-BE32-E72D297353CC}">
              <c16:uniqueId val="{00000012-D2EC-43F4-A278-388FAF43ED43}"/>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'13.'!$L$4</c:f>
              <c:strCache>
                <c:ptCount val="1"/>
                <c:pt idx="0">
                  <c:v>2018</c:v>
                </c:pt>
              </c:strCache>
            </c:strRef>
          </c:tx>
          <c:spPr>
            <a:ln w="25400" cap="rnd">
              <a:noFill/>
              <a:round/>
            </a:ln>
            <a:effectLst/>
          </c:spPr>
          <c:marker>
            <c:symbol val="triangle"/>
            <c:size val="8"/>
            <c:spPr>
              <a:solidFill>
                <a:srgbClr val="FFFF00"/>
              </a:solidFill>
              <a:ln w="9525">
                <a:solidFill>
                  <a:srgbClr val="FFFF00"/>
                </a:solidFill>
              </a:ln>
              <a:effectLst/>
            </c:spPr>
          </c:marker>
          <c:cat>
            <c:strRef>
              <c:f>'13.'!$J$5:$J$31</c:f>
              <c:strCache>
                <c:ptCount val="27"/>
                <c:pt idx="0">
                  <c:v>SE</c:v>
                </c:pt>
                <c:pt idx="1">
                  <c:v>FI</c:v>
                </c:pt>
                <c:pt idx="2">
                  <c:v>EE</c:v>
                </c:pt>
                <c:pt idx="3">
                  <c:v>BE</c:v>
                </c:pt>
                <c:pt idx="4">
                  <c:v>LU</c:v>
                </c:pt>
                <c:pt idx="5">
                  <c:v>HR</c:v>
                </c:pt>
                <c:pt idx="6">
                  <c:v>NL</c:v>
                </c:pt>
                <c:pt idx="7">
                  <c:v>SI</c:v>
                </c:pt>
                <c:pt idx="8">
                  <c:v>AT</c:v>
                </c:pt>
                <c:pt idx="9">
                  <c:v>FR</c:v>
                </c:pt>
                <c:pt idx="10">
                  <c:v>HU</c:v>
                </c:pt>
                <c:pt idx="11">
                  <c:v>IE</c:v>
                </c:pt>
                <c:pt idx="12">
                  <c:v>EL</c:v>
                </c:pt>
                <c:pt idx="13">
                  <c:v>LT</c:v>
                </c:pt>
                <c:pt idx="14">
                  <c:v>IT</c:v>
                </c:pt>
                <c:pt idx="15">
                  <c:v>DE</c:v>
                </c:pt>
                <c:pt idx="16">
                  <c:v>CZ</c:v>
                </c:pt>
                <c:pt idx="17">
                  <c:v>CY</c:v>
                </c:pt>
                <c:pt idx="18">
                  <c:v>SK</c:v>
                </c:pt>
                <c:pt idx="19">
                  <c:v>ES</c:v>
                </c:pt>
                <c:pt idx="20">
                  <c:v>MT</c:v>
                </c:pt>
                <c:pt idx="21">
                  <c:v>LV</c:v>
                </c:pt>
                <c:pt idx="22">
                  <c:v>PT</c:v>
                </c:pt>
                <c:pt idx="23">
                  <c:v>DK</c:v>
                </c:pt>
                <c:pt idx="24">
                  <c:v>PL</c:v>
                </c:pt>
                <c:pt idx="25">
                  <c:v>RO</c:v>
                </c:pt>
                <c:pt idx="26">
                  <c:v>BG</c:v>
                </c:pt>
              </c:strCache>
            </c:strRef>
          </c:cat>
          <c:val>
            <c:numRef>
              <c:f>'13.'!$L$5:$L$31</c:f>
              <c:numCache>
                <c:formatCode>#\ ##0.##########</c:formatCode>
                <c:ptCount val="27"/>
                <c:pt idx="0">
                  <c:v>48.1</c:v>
                </c:pt>
                <c:pt idx="1">
                  <c:v>37.5</c:v>
                </c:pt>
                <c:pt idx="2">
                  <c:v>43.8</c:v>
                </c:pt>
                <c:pt idx="3">
                  <c:v>36.9</c:v>
                </c:pt>
                <c:pt idx="4">
                  <c:v>25.4</c:v>
                </c:pt>
                <c:pt idx="5">
                  <c:v>31.4</c:v>
                </c:pt>
                <c:pt idx="6" formatCode="#,##0">
                  <c:v>0</c:v>
                </c:pt>
                <c:pt idx="7">
                  <c:v>25.8</c:v>
                </c:pt>
                <c:pt idx="8">
                  <c:v>20.5</c:v>
                </c:pt>
                <c:pt idx="9" formatCode="#\ ##0.0">
                  <c:v>19</c:v>
                </c:pt>
                <c:pt idx="10">
                  <c:v>22.7</c:v>
                </c:pt>
                <c:pt idx="11">
                  <c:v>25.4</c:v>
                </c:pt>
                <c:pt idx="12">
                  <c:v>29.6</c:v>
                </c:pt>
                <c:pt idx="13">
                  <c:v>17.3</c:v>
                </c:pt>
                <c:pt idx="14">
                  <c:v>20.7</c:v>
                </c:pt>
                <c:pt idx="15">
                  <c:v>23.6</c:v>
                </c:pt>
                <c:pt idx="16">
                  <c:v>13.2</c:v>
                </c:pt>
                <c:pt idx="17">
                  <c:v>62.7</c:v>
                </c:pt>
                <c:pt idx="18" formatCode="#\ ##0.0">
                  <c:v>15</c:v>
                </c:pt>
                <c:pt idx="19">
                  <c:v>10.7</c:v>
                </c:pt>
                <c:pt idx="20">
                  <c:v>15.6</c:v>
                </c:pt>
                <c:pt idx="21" formatCode="#\ ##0.0">
                  <c:v>15</c:v>
                </c:pt>
                <c:pt idx="22">
                  <c:v>12.7</c:v>
                </c:pt>
                <c:pt idx="23">
                  <c:v>20.5</c:v>
                </c:pt>
                <c:pt idx="24" formatCode="#\ ##0.0">
                  <c:v>9</c:v>
                </c:pt>
                <c:pt idx="25" formatCode="#\ ##0.0">
                  <c:v>10</c:v>
                </c:pt>
                <c:pt idx="26">
                  <c:v>7.3</c:v>
                </c:pt>
              </c:numCache>
            </c:numRef>
          </c:val>
          <c:smooth val="0"/>
          <c:extLst>
            <c:ext xmlns:c16="http://schemas.microsoft.com/office/drawing/2014/chart" uri="{C3380CC4-5D6E-409C-BE32-E72D297353CC}">
              <c16:uniqueId val="{00000013-D2EC-43F4-A278-388FAF43ED43}"/>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24030280669161116"/>
          <c:y val="5.7859655578677727E-2"/>
          <c:w val="0.30867148772886299"/>
          <c:h val="5.670605844819584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'14.'!$B$3</c:f>
              <c:strCache>
                <c:ptCount val="1"/>
                <c:pt idx="0">
                  <c:v>Country Name</c:v>
                </c:pt>
              </c:strCache>
            </c:strRef>
          </c:tx>
          <c:spPr>
            <a:solidFill>
              <a:schemeClr val="accent1"/>
            </a:solidFill>
            <a:ln>
              <a:noFill/>
            </a:ln>
            <a:effectLst/>
          </c:spPr>
          <c:invertIfNegative val="0"/>
          <c:cat>
            <c:strRef>
              <c:f>'14.'!$A$4:$A$41</c:f>
              <c:strCache>
                <c:ptCount val="38"/>
                <c:pt idx="0">
                  <c:v>EE</c:v>
                </c:pt>
                <c:pt idx="1">
                  <c:v>UK</c:v>
                </c:pt>
                <c:pt idx="2">
                  <c:v>FI</c:v>
                </c:pt>
                <c:pt idx="3">
                  <c:v>DK</c:v>
                </c:pt>
                <c:pt idx="4">
                  <c:v>FR</c:v>
                </c:pt>
                <c:pt idx="5">
                  <c:v>NO</c:v>
                </c:pt>
                <c:pt idx="6">
                  <c:v>SE</c:v>
                </c:pt>
                <c:pt idx="7">
                  <c:v>NL</c:v>
                </c:pt>
                <c:pt idx="8">
                  <c:v>LT</c:v>
                </c:pt>
                <c:pt idx="9">
                  <c:v>HR</c:v>
                </c:pt>
                <c:pt idx="10">
                  <c:v>BE</c:v>
                </c:pt>
                <c:pt idx="11">
                  <c:v>ES</c:v>
                </c:pt>
                <c:pt idx="12">
                  <c:v>CH</c:v>
                </c:pt>
                <c:pt idx="13">
                  <c:v>LU</c:v>
                </c:pt>
                <c:pt idx="14">
                  <c:v>DE</c:v>
                </c:pt>
                <c:pt idx="15">
                  <c:v>EU27</c:v>
                </c:pt>
                <c:pt idx="16">
                  <c:v>CZ</c:v>
                </c:pt>
                <c:pt idx="17">
                  <c:v>AT</c:v>
                </c:pt>
                <c:pt idx="18">
                  <c:v>IE</c:v>
                </c:pt>
                <c:pt idx="19">
                  <c:v>IS</c:v>
                </c:pt>
                <c:pt idx="20">
                  <c:v>HU</c:v>
                </c:pt>
                <c:pt idx="21">
                  <c:v>IT</c:v>
                </c:pt>
                <c:pt idx="22">
                  <c:v>UA</c:v>
                </c:pt>
                <c:pt idx="23">
                  <c:v>CY</c:v>
                </c:pt>
                <c:pt idx="24">
                  <c:v>EL</c:v>
                </c:pt>
                <c:pt idx="25">
                  <c:v>BG</c:v>
                </c:pt>
                <c:pt idx="26">
                  <c:v>LV</c:v>
                </c:pt>
                <c:pt idx="27">
                  <c:v>PT</c:v>
                </c:pt>
                <c:pt idx="28">
                  <c:v>PL</c:v>
                </c:pt>
                <c:pt idx="29">
                  <c:v>SI</c:v>
                </c:pt>
                <c:pt idx="30">
                  <c:v>SK</c:v>
                </c:pt>
                <c:pt idx="31">
                  <c:v>RS</c:v>
                </c:pt>
                <c:pt idx="32">
                  <c:v>RO</c:v>
                </c:pt>
                <c:pt idx="33">
                  <c:v>MD</c:v>
                </c:pt>
                <c:pt idx="34">
                  <c:v>MT</c:v>
                </c:pt>
                <c:pt idx="35">
                  <c:v>TR</c:v>
                </c:pt>
                <c:pt idx="36">
                  <c:v>MK</c:v>
                </c:pt>
                <c:pt idx="37">
                  <c:v>ME</c:v>
                </c:pt>
              </c:strCache>
            </c:strRef>
          </c:cat>
          <c:val>
            <c:numRef>
              <c:f>'14.'!$B$4:$B$41</c:f>
            </c:numRef>
          </c:val>
          <c:extLst>
            <c:ext xmlns:c16="http://schemas.microsoft.com/office/drawing/2014/chart" uri="{C3380CC4-5D6E-409C-BE32-E72D297353CC}">
              <c16:uniqueId val="{00000000-F021-4170-90BD-0F4FB76AE595}"/>
            </c:ext>
          </c:extLst>
        </c:ser>
        <c:dLbls>
          <c:showLegendKey val="0"/>
          <c:showVal val="0"/>
          <c:showCatName val="0"/>
          <c:showSerName val="0"/>
          <c:showPercent val="0"/>
          <c:showBubbleSize val="0"/>
        </c:dLbls>
        <c:gapWidth val="219"/>
        <c:overlap val="-27"/>
        <c:axId val="1247853520"/>
        <c:axId val="1247851120"/>
      </c:barChart>
      <c:barChart>
        <c:barDir val="col"/>
        <c:grouping val="clustered"/>
        <c:varyColors val="0"/>
        <c:ser>
          <c:idx val="3"/>
          <c:order val="3"/>
          <c:tx>
            <c:strRef>
              <c:f>'14.'!$E$3</c:f>
              <c:strCache>
                <c:ptCount val="1"/>
                <c:pt idx="0">
                  <c:v>2024</c:v>
                </c:pt>
              </c:strCache>
            </c:strRef>
          </c:tx>
          <c:spPr>
            <a:solidFill>
              <a:schemeClr val="tx2">
                <a:lumMod val="25000"/>
                <a:lumOff val="75000"/>
              </a:schemeClr>
            </a:solidFill>
            <a:ln w="25400">
              <a:solidFill>
                <a:schemeClr val="tx2">
                  <a:lumMod val="25000"/>
                  <a:lumOff val="75000"/>
                </a:schemeClr>
              </a:solidFill>
            </a:ln>
            <a:effectLst/>
          </c:spPr>
          <c:invertIfNegative val="0"/>
          <c:dPt>
            <c:idx val="1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2-F021-4170-90BD-0F4FB76AE595}"/>
              </c:ext>
            </c:extLst>
          </c:dPt>
          <c:dPt>
            <c:idx val="1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4-F021-4170-90BD-0F4FB76AE595}"/>
              </c:ext>
            </c:extLst>
          </c:dPt>
          <c:dPt>
            <c:idx val="1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6-F021-4170-90BD-0F4FB76AE595}"/>
              </c:ext>
            </c:extLst>
          </c:dPt>
          <c:dPt>
            <c:idx val="2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8-F021-4170-90BD-0F4FB76AE595}"/>
              </c:ext>
            </c:extLst>
          </c:dPt>
          <c:dPt>
            <c:idx val="2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A-F021-4170-90BD-0F4FB76AE595}"/>
              </c:ext>
            </c:extLst>
          </c:dPt>
          <c:dPt>
            <c:idx val="2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C-F021-4170-90BD-0F4FB76AE595}"/>
              </c:ext>
            </c:extLst>
          </c:dPt>
          <c:dPt>
            <c:idx val="2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E-F021-4170-90BD-0F4FB76AE595}"/>
              </c:ext>
            </c:extLst>
          </c:dPt>
          <c:dPt>
            <c:idx val="3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0-F021-4170-90BD-0F4FB76AE595}"/>
              </c:ext>
            </c:extLst>
          </c:dPt>
          <c:dPt>
            <c:idx val="31"/>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2-F021-4170-90BD-0F4FB76AE595}"/>
              </c:ext>
            </c:extLst>
          </c:dPt>
          <c:dPt>
            <c:idx val="3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4-F021-4170-90BD-0F4FB76AE595}"/>
              </c:ext>
            </c:extLst>
          </c:dPt>
          <c:dPt>
            <c:idx val="33"/>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6-F021-4170-90BD-0F4FB76AE595}"/>
              </c:ext>
            </c:extLst>
          </c:dPt>
          <c:dLbls>
            <c:dLbl>
              <c:idx val="0"/>
              <c:layout>
                <c:manualLayout>
                  <c:x val="-2.1583190282091005E-3"/>
                  <c:y val="4.459529983449850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021-4170-90BD-0F4FB76AE5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'14.'!$A$4:$A$41</c:f>
              <c:strCache>
                <c:ptCount val="38"/>
                <c:pt idx="0">
                  <c:v>EE</c:v>
                </c:pt>
                <c:pt idx="1">
                  <c:v>UK</c:v>
                </c:pt>
                <c:pt idx="2">
                  <c:v>FI</c:v>
                </c:pt>
                <c:pt idx="3">
                  <c:v>DK</c:v>
                </c:pt>
                <c:pt idx="4">
                  <c:v>FR</c:v>
                </c:pt>
                <c:pt idx="5">
                  <c:v>NO</c:v>
                </c:pt>
                <c:pt idx="6">
                  <c:v>SE</c:v>
                </c:pt>
                <c:pt idx="7">
                  <c:v>NL</c:v>
                </c:pt>
                <c:pt idx="8">
                  <c:v>LT</c:v>
                </c:pt>
                <c:pt idx="9">
                  <c:v>HR</c:v>
                </c:pt>
                <c:pt idx="10">
                  <c:v>BE</c:v>
                </c:pt>
                <c:pt idx="11">
                  <c:v>ES</c:v>
                </c:pt>
                <c:pt idx="12">
                  <c:v>CH</c:v>
                </c:pt>
                <c:pt idx="13">
                  <c:v>LU</c:v>
                </c:pt>
                <c:pt idx="14">
                  <c:v>DE</c:v>
                </c:pt>
                <c:pt idx="15">
                  <c:v>EU27</c:v>
                </c:pt>
                <c:pt idx="16">
                  <c:v>CZ</c:v>
                </c:pt>
                <c:pt idx="17">
                  <c:v>AT</c:v>
                </c:pt>
                <c:pt idx="18">
                  <c:v>IE</c:v>
                </c:pt>
                <c:pt idx="19">
                  <c:v>IS</c:v>
                </c:pt>
                <c:pt idx="20">
                  <c:v>HU</c:v>
                </c:pt>
                <c:pt idx="21">
                  <c:v>IT</c:v>
                </c:pt>
                <c:pt idx="22">
                  <c:v>UA</c:v>
                </c:pt>
                <c:pt idx="23">
                  <c:v>CY</c:v>
                </c:pt>
                <c:pt idx="24">
                  <c:v>EL</c:v>
                </c:pt>
                <c:pt idx="25">
                  <c:v>BG</c:v>
                </c:pt>
                <c:pt idx="26">
                  <c:v>LV</c:v>
                </c:pt>
                <c:pt idx="27">
                  <c:v>PT</c:v>
                </c:pt>
                <c:pt idx="28">
                  <c:v>PL</c:v>
                </c:pt>
                <c:pt idx="29">
                  <c:v>SI</c:v>
                </c:pt>
                <c:pt idx="30">
                  <c:v>SK</c:v>
                </c:pt>
                <c:pt idx="31">
                  <c:v>RS</c:v>
                </c:pt>
                <c:pt idx="32">
                  <c:v>RO</c:v>
                </c:pt>
                <c:pt idx="33">
                  <c:v>MD</c:v>
                </c:pt>
                <c:pt idx="34">
                  <c:v>MT</c:v>
                </c:pt>
                <c:pt idx="35">
                  <c:v>TR</c:v>
                </c:pt>
                <c:pt idx="36">
                  <c:v>MK</c:v>
                </c:pt>
                <c:pt idx="37">
                  <c:v>ME</c:v>
                </c:pt>
              </c:strCache>
            </c:strRef>
          </c:cat>
          <c:val>
            <c:numRef>
              <c:f>'14.'!$E$4:$E$41</c:f>
              <c:numCache>
                <c:formatCode>_-\ #\ ##0.00_-;\-* #\ ##0.00_-;_-* "-"??_-;_-@_-</c:formatCode>
                <c:ptCount val="38"/>
                <c:pt idx="0">
                  <c:v>0.99910169778869995</c:v>
                </c:pt>
                <c:pt idx="1">
                  <c:v>0.43378068837176298</c:v>
                </c:pt>
                <c:pt idx="2">
                  <c:v>0.40054615014995398</c:v>
                </c:pt>
                <c:pt idx="3">
                  <c:v>0.39771046767590901</c:v>
                </c:pt>
                <c:pt idx="4">
                  <c:v>0.39096044025906201</c:v>
                </c:pt>
                <c:pt idx="5">
                  <c:v>0.37732484377224801</c:v>
                </c:pt>
                <c:pt idx="6">
                  <c:v>0.34954287806912099</c:v>
                </c:pt>
                <c:pt idx="7">
                  <c:v>0.33773711374074</c:v>
                </c:pt>
                <c:pt idx="8">
                  <c:v>0.320095650743627</c:v>
                </c:pt>
                <c:pt idx="9">
                  <c:v>0.31055830514042099</c:v>
                </c:pt>
                <c:pt idx="10">
                  <c:v>0.24515584760048401</c:v>
                </c:pt>
                <c:pt idx="11">
                  <c:v>0.22309129179788401</c:v>
                </c:pt>
                <c:pt idx="12">
                  <c:v>0.19474465016543599</c:v>
                </c:pt>
                <c:pt idx="13">
                  <c:v>0.181186599981499</c:v>
                </c:pt>
                <c:pt idx="14">
                  <c:v>0.17133643726896799</c:v>
                </c:pt>
                <c:pt idx="15">
                  <c:v>0.168995119907216</c:v>
                </c:pt>
                <c:pt idx="16">
                  <c:v>0.14821522548692401</c:v>
                </c:pt>
                <c:pt idx="17">
                  <c:v>0.11013209305694301</c:v>
                </c:pt>
                <c:pt idx="18">
                  <c:v>0.101496541814017</c:v>
                </c:pt>
                <c:pt idx="19">
                  <c:v>0.100880109634783</c:v>
                </c:pt>
                <c:pt idx="20">
                  <c:v>9.1676859256038606E-2</c:v>
                </c:pt>
                <c:pt idx="21">
                  <c:v>8.0229523262251301E-2</c:v>
                </c:pt>
                <c:pt idx="22">
                  <c:v>7.0509036175559495E-2</c:v>
                </c:pt>
                <c:pt idx="23">
                  <c:v>6.0405607394670803E-2</c:v>
                </c:pt>
                <c:pt idx="24">
                  <c:v>5.5463378387922702E-2</c:v>
                </c:pt>
                <c:pt idx="25">
                  <c:v>4.8737103728577202E-2</c:v>
                </c:pt>
                <c:pt idx="26">
                  <c:v>4.86185082802401E-2</c:v>
                </c:pt>
                <c:pt idx="27">
                  <c:v>4.4030418778696401E-2</c:v>
                </c:pt>
                <c:pt idx="28">
                  <c:v>3.64456296698401E-2</c:v>
                </c:pt>
                <c:pt idx="29">
                  <c:v>3.5157538113112598E-2</c:v>
                </c:pt>
                <c:pt idx="30">
                  <c:v>3.3886696817287801E-2</c:v>
                </c:pt>
                <c:pt idx="31">
                  <c:v>3.2104460432166498E-2</c:v>
                </c:pt>
                <c:pt idx="32">
                  <c:v>2.5060250455996701E-2</c:v>
                </c:pt>
                <c:pt idx="33">
                  <c:v>2.4217457669953799E-2</c:v>
                </c:pt>
                <c:pt idx="34">
                  <c:v>8.8567524314088694E-3</c:v>
                </c:pt>
                <c:pt idx="35">
                  <c:v>2.3802481283552502E-3</c:v>
                </c:pt>
                <c:pt idx="36">
                  <c:v>1.82771342082319E-3</c:v>
                </c:pt>
                <c:pt idx="37">
                  <c:v>6.7792032410533398E-4</c:v>
                </c:pt>
              </c:numCache>
            </c:numRef>
          </c:val>
          <c:extLst>
            <c:ext xmlns:c16="http://schemas.microsoft.com/office/drawing/2014/chart" uri="{C3380CC4-5D6E-409C-BE32-E72D297353CC}">
              <c16:uniqueId val="{00000018-F021-4170-90BD-0F4FB76AE595}"/>
            </c:ext>
          </c:extLst>
        </c:ser>
        <c:dLbls>
          <c:showLegendKey val="0"/>
          <c:showVal val="0"/>
          <c:showCatName val="0"/>
          <c:showSerName val="0"/>
          <c:showPercent val="0"/>
          <c:showBubbleSize val="0"/>
        </c:dLbls>
        <c:gapWidth val="150"/>
        <c:axId val="1247853520"/>
        <c:axId val="1247851120"/>
      </c:barChart>
      <c:lineChart>
        <c:grouping val="standard"/>
        <c:varyColors val="0"/>
        <c:ser>
          <c:idx val="1"/>
          <c:order val="1"/>
          <c:tx>
            <c:strRef>
              <c:f>'14.'!$C$3</c:f>
              <c:strCache>
                <c:ptCount val="1"/>
                <c:pt idx="0">
                  <c:v>Year</c:v>
                </c:pt>
              </c:strCache>
            </c:strRef>
          </c:tx>
          <c:spPr>
            <a:ln w="25400" cap="rnd">
              <a:noFill/>
              <a:round/>
            </a:ln>
            <a:effectLst/>
          </c:spPr>
          <c:marker>
            <c:symbol val="triangle"/>
            <c:size val="8"/>
            <c:spPr>
              <a:solidFill>
                <a:srgbClr val="FFFF00"/>
              </a:solidFill>
              <a:ln w="9525">
                <a:solidFill>
                  <a:srgbClr val="FFFF00"/>
                </a:solidFill>
              </a:ln>
              <a:effectLst/>
            </c:spPr>
          </c:marker>
          <c:cat>
            <c:strRef>
              <c:f>'14.'!$A$4:$A$41</c:f>
              <c:strCache>
                <c:ptCount val="38"/>
                <c:pt idx="0">
                  <c:v>EE</c:v>
                </c:pt>
                <c:pt idx="1">
                  <c:v>UK</c:v>
                </c:pt>
                <c:pt idx="2">
                  <c:v>FI</c:v>
                </c:pt>
                <c:pt idx="3">
                  <c:v>DK</c:v>
                </c:pt>
                <c:pt idx="4">
                  <c:v>FR</c:v>
                </c:pt>
                <c:pt idx="5">
                  <c:v>NO</c:v>
                </c:pt>
                <c:pt idx="6">
                  <c:v>SE</c:v>
                </c:pt>
                <c:pt idx="7">
                  <c:v>NL</c:v>
                </c:pt>
                <c:pt idx="8">
                  <c:v>LT</c:v>
                </c:pt>
                <c:pt idx="9">
                  <c:v>HR</c:v>
                </c:pt>
                <c:pt idx="10">
                  <c:v>BE</c:v>
                </c:pt>
                <c:pt idx="11">
                  <c:v>ES</c:v>
                </c:pt>
                <c:pt idx="12">
                  <c:v>CH</c:v>
                </c:pt>
                <c:pt idx="13">
                  <c:v>LU</c:v>
                </c:pt>
                <c:pt idx="14">
                  <c:v>DE</c:v>
                </c:pt>
                <c:pt idx="15">
                  <c:v>EU27</c:v>
                </c:pt>
                <c:pt idx="16">
                  <c:v>CZ</c:v>
                </c:pt>
                <c:pt idx="17">
                  <c:v>AT</c:v>
                </c:pt>
                <c:pt idx="18">
                  <c:v>IE</c:v>
                </c:pt>
                <c:pt idx="19">
                  <c:v>IS</c:v>
                </c:pt>
                <c:pt idx="20">
                  <c:v>HU</c:v>
                </c:pt>
                <c:pt idx="21">
                  <c:v>IT</c:v>
                </c:pt>
                <c:pt idx="22">
                  <c:v>UA</c:v>
                </c:pt>
                <c:pt idx="23">
                  <c:v>CY</c:v>
                </c:pt>
                <c:pt idx="24">
                  <c:v>EL</c:v>
                </c:pt>
                <c:pt idx="25">
                  <c:v>BG</c:v>
                </c:pt>
                <c:pt idx="26">
                  <c:v>LV</c:v>
                </c:pt>
                <c:pt idx="27">
                  <c:v>PT</c:v>
                </c:pt>
                <c:pt idx="28">
                  <c:v>PL</c:v>
                </c:pt>
                <c:pt idx="29">
                  <c:v>SI</c:v>
                </c:pt>
                <c:pt idx="30">
                  <c:v>SK</c:v>
                </c:pt>
                <c:pt idx="31">
                  <c:v>RS</c:v>
                </c:pt>
                <c:pt idx="32">
                  <c:v>RO</c:v>
                </c:pt>
                <c:pt idx="33">
                  <c:v>MD</c:v>
                </c:pt>
                <c:pt idx="34">
                  <c:v>MT</c:v>
                </c:pt>
                <c:pt idx="35">
                  <c:v>TR</c:v>
                </c:pt>
                <c:pt idx="36">
                  <c:v>MK</c:v>
                </c:pt>
                <c:pt idx="37">
                  <c:v>ME</c:v>
                </c:pt>
              </c:strCache>
            </c:strRef>
          </c:cat>
          <c:val>
            <c:numRef>
              <c:f>'14.'!$C$4:$C$41</c:f>
            </c:numRef>
          </c:val>
          <c:smooth val="0"/>
          <c:extLst>
            <c:ext xmlns:c16="http://schemas.microsoft.com/office/drawing/2014/chart" uri="{C3380CC4-5D6E-409C-BE32-E72D297353CC}">
              <c16:uniqueId val="{00000019-F021-4170-90BD-0F4FB76AE595}"/>
            </c:ext>
          </c:extLst>
        </c:ser>
        <c:ser>
          <c:idx val="2"/>
          <c:order val="2"/>
          <c:tx>
            <c:strRef>
              <c:f>'14.'!$D$3</c:f>
              <c:strCache>
                <c:ptCount val="1"/>
                <c:pt idx="0">
                  <c:v>2017</c:v>
                </c:pt>
              </c:strCache>
            </c:strRef>
          </c:tx>
          <c:spPr>
            <a:ln w="28575" cap="rnd">
              <a:noFill/>
              <a:round/>
            </a:ln>
            <a:effectLst/>
          </c:spPr>
          <c:marker>
            <c:symbol val="triangle"/>
            <c:size val="8"/>
            <c:spPr>
              <a:solidFill>
                <a:srgbClr val="FFFF00"/>
              </a:solidFill>
              <a:ln w="9525">
                <a:solidFill>
                  <a:srgbClr val="FFFF00"/>
                </a:solidFill>
              </a:ln>
              <a:effectLst/>
            </c:spPr>
          </c:marker>
          <c:cat>
            <c:strRef>
              <c:f>'14.'!$A$4:$A$41</c:f>
              <c:strCache>
                <c:ptCount val="38"/>
                <c:pt idx="0">
                  <c:v>EE</c:v>
                </c:pt>
                <c:pt idx="1">
                  <c:v>UK</c:v>
                </c:pt>
                <c:pt idx="2">
                  <c:v>FI</c:v>
                </c:pt>
                <c:pt idx="3">
                  <c:v>DK</c:v>
                </c:pt>
                <c:pt idx="4">
                  <c:v>FR</c:v>
                </c:pt>
                <c:pt idx="5">
                  <c:v>NO</c:v>
                </c:pt>
                <c:pt idx="6">
                  <c:v>SE</c:v>
                </c:pt>
                <c:pt idx="7">
                  <c:v>NL</c:v>
                </c:pt>
                <c:pt idx="8">
                  <c:v>LT</c:v>
                </c:pt>
                <c:pt idx="9">
                  <c:v>HR</c:v>
                </c:pt>
                <c:pt idx="10">
                  <c:v>BE</c:v>
                </c:pt>
                <c:pt idx="11">
                  <c:v>ES</c:v>
                </c:pt>
                <c:pt idx="12">
                  <c:v>CH</c:v>
                </c:pt>
                <c:pt idx="13">
                  <c:v>LU</c:v>
                </c:pt>
                <c:pt idx="14">
                  <c:v>DE</c:v>
                </c:pt>
                <c:pt idx="15">
                  <c:v>EU27</c:v>
                </c:pt>
                <c:pt idx="16">
                  <c:v>CZ</c:v>
                </c:pt>
                <c:pt idx="17">
                  <c:v>AT</c:v>
                </c:pt>
                <c:pt idx="18">
                  <c:v>IE</c:v>
                </c:pt>
                <c:pt idx="19">
                  <c:v>IS</c:v>
                </c:pt>
                <c:pt idx="20">
                  <c:v>HU</c:v>
                </c:pt>
                <c:pt idx="21">
                  <c:v>IT</c:v>
                </c:pt>
                <c:pt idx="22">
                  <c:v>UA</c:v>
                </c:pt>
                <c:pt idx="23">
                  <c:v>CY</c:v>
                </c:pt>
                <c:pt idx="24">
                  <c:v>EL</c:v>
                </c:pt>
                <c:pt idx="25">
                  <c:v>BG</c:v>
                </c:pt>
                <c:pt idx="26">
                  <c:v>LV</c:v>
                </c:pt>
                <c:pt idx="27">
                  <c:v>PT</c:v>
                </c:pt>
                <c:pt idx="28">
                  <c:v>PL</c:v>
                </c:pt>
                <c:pt idx="29">
                  <c:v>SI</c:v>
                </c:pt>
                <c:pt idx="30">
                  <c:v>SK</c:v>
                </c:pt>
                <c:pt idx="31">
                  <c:v>RS</c:v>
                </c:pt>
                <c:pt idx="32">
                  <c:v>RO</c:v>
                </c:pt>
                <c:pt idx="33">
                  <c:v>MD</c:v>
                </c:pt>
                <c:pt idx="34">
                  <c:v>MT</c:v>
                </c:pt>
                <c:pt idx="35">
                  <c:v>TR</c:v>
                </c:pt>
                <c:pt idx="36">
                  <c:v>MK</c:v>
                </c:pt>
                <c:pt idx="37">
                  <c:v>ME</c:v>
                </c:pt>
              </c:strCache>
            </c:strRef>
          </c:cat>
          <c:val>
            <c:numRef>
              <c:f>'14.'!$D$4:$D$41</c:f>
              <c:numCache>
                <c:formatCode>_-\ #\ ##0.00_-;\-* #\ ##0.00_-;_-* "-"??_-;_-@_-</c:formatCode>
                <c:ptCount val="38"/>
                <c:pt idx="0">
                  <c:v>0.15993509514844501</c:v>
                </c:pt>
                <c:pt idx="1">
                  <c:v>0.15515215451394701</c:v>
                </c:pt>
                <c:pt idx="2">
                  <c:v>0.128771740363951</c:v>
                </c:pt>
                <c:pt idx="3">
                  <c:v>6.5558330683112703E-2</c:v>
                </c:pt>
                <c:pt idx="4">
                  <c:v>0.21211158194474999</c:v>
                </c:pt>
                <c:pt idx="5">
                  <c:v>0.120249022460339</c:v>
                </c:pt>
                <c:pt idx="6">
                  <c:v>7.6010862926230702E-2</c:v>
                </c:pt>
                <c:pt idx="7">
                  <c:v>0.13805313092152599</c:v>
                </c:pt>
                <c:pt idx="8">
                  <c:v>7.6941246906989696E-2</c:v>
                </c:pt>
                <c:pt idx="9">
                  <c:v>6.8798475931450706E-2</c:v>
                </c:pt>
                <c:pt idx="10">
                  <c:v>0.131263061506738</c:v>
                </c:pt>
                <c:pt idx="11">
                  <c:v>0.106349845222388</c:v>
                </c:pt>
                <c:pt idx="12">
                  <c:v>7.39519563511917E-2</c:v>
                </c:pt>
                <c:pt idx="13">
                  <c:v>0.27472442389746998</c:v>
                </c:pt>
                <c:pt idx="14">
                  <c:v>6.6706923502283202E-2</c:v>
                </c:pt>
                <c:pt idx="15">
                  <c:v>9.6587876442935497E-2</c:v>
                </c:pt>
                <c:pt idx="16">
                  <c:v>1.30165850154348E-2</c:v>
                </c:pt>
                <c:pt idx="17">
                  <c:v>4.9291449602255198E-2</c:v>
                </c:pt>
                <c:pt idx="18">
                  <c:v>0.14499987239860501</c:v>
                </c:pt>
                <c:pt idx="19">
                  <c:v>3.4980835729332901E-2</c:v>
                </c:pt>
                <c:pt idx="20">
                  <c:v>8.90703862842495E-2</c:v>
                </c:pt>
                <c:pt idx="21">
                  <c:v>7.3371070008654296E-2</c:v>
                </c:pt>
                <c:pt idx="22">
                  <c:v>1.5329605797057199E-2</c:v>
                </c:pt>
                <c:pt idx="23">
                  <c:v>6.3024603843795796E-2</c:v>
                </c:pt>
                <c:pt idx="24">
                  <c:v>1.58607090773265E-2</c:v>
                </c:pt>
                <c:pt idx="25">
                  <c:v>3.7929960255318397E-2</c:v>
                </c:pt>
                <c:pt idx="26">
                  <c:v>0.13145279439010901</c:v>
                </c:pt>
                <c:pt idx="27">
                  <c:v>7.0910083705587199E-2</c:v>
                </c:pt>
                <c:pt idx="28">
                  <c:v>3.78118736820445E-2</c:v>
                </c:pt>
                <c:pt idx="29">
                  <c:v>1.05677018422252E-2</c:v>
                </c:pt>
                <c:pt idx="30">
                  <c:v>2.0206257457238301E-2</c:v>
                </c:pt>
                <c:pt idx="31">
                  <c:v>1.3747521564305501E-3</c:v>
                </c:pt>
                <c:pt idx="32">
                  <c:v>1.61848728935837E-2</c:v>
                </c:pt>
                <c:pt idx="33">
                  <c:v>2.4217457669953799E-2</c:v>
                </c:pt>
                <c:pt idx="34">
                  <c:v>9.0655270004151908E-3</c:v>
                </c:pt>
                <c:pt idx="35">
                  <c:v>4.29700521311707E-4</c:v>
                </c:pt>
                <c:pt idx="36">
                  <c:v>3.4519063152625999E-4</c:v>
                </c:pt>
                <c:pt idx="37">
                  <c:v>0</c:v>
                </c:pt>
              </c:numCache>
            </c:numRef>
          </c:val>
          <c:smooth val="0"/>
          <c:extLst>
            <c:ext xmlns:c16="http://schemas.microsoft.com/office/drawing/2014/chart" uri="{C3380CC4-5D6E-409C-BE32-E72D297353CC}">
              <c16:uniqueId val="{0000001A-F021-4170-90BD-0F4FB76AE595}"/>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2708383613018604"/>
          <c:h val="5.67060584481958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7261777708250043"/>
        </c:manualLayout>
      </c:layout>
      <c:barChart>
        <c:barDir val="col"/>
        <c:grouping val="clustered"/>
        <c:varyColors val="0"/>
        <c:ser>
          <c:idx val="0"/>
          <c:order val="0"/>
          <c:tx>
            <c:strRef>
              <c:f>'15.'!$B$1</c:f>
              <c:strCache>
                <c:ptCount val="1"/>
                <c:pt idx="0">
                  <c:v>EU Contribution</c:v>
                </c:pt>
              </c:strCache>
            </c:strRef>
          </c:tx>
          <c:spPr>
            <a:solidFill>
              <a:schemeClr val="accent1"/>
            </a:solidFill>
            <a:ln>
              <a:noFill/>
            </a:ln>
            <a:effectLst/>
          </c:spPr>
          <c:invertIfNegative val="0"/>
          <c:cat>
            <c:strRef>
              <c:f>'15.'!$A$2:$A$6</c:f>
              <c:strCache>
                <c:ptCount val="5"/>
                <c:pt idx="0">
                  <c:v>DE</c:v>
                </c:pt>
                <c:pt idx="1">
                  <c:v>AT</c:v>
                </c:pt>
                <c:pt idx="2">
                  <c:v>CZ</c:v>
                </c:pt>
                <c:pt idx="3">
                  <c:v>SI</c:v>
                </c:pt>
                <c:pt idx="4">
                  <c:v>RO</c:v>
                </c:pt>
              </c:strCache>
            </c:strRef>
          </c:cat>
          <c:val>
            <c:numRef>
              <c:f>'15.'!$B$2:$B$6</c:f>
              <c:numCache>
                <c:formatCode>#,##0.00</c:formatCode>
                <c:ptCount val="5"/>
                <c:pt idx="0">
                  <c:v>7301552633.109952</c:v>
                </c:pt>
                <c:pt idx="1">
                  <c:v>1415597441.4400032</c:v>
                </c:pt>
                <c:pt idx="2">
                  <c:v>517337421.26999956</c:v>
                </c:pt>
                <c:pt idx="3">
                  <c:v>363834434.02999985</c:v>
                </c:pt>
                <c:pt idx="4">
                  <c:v>287947422.45999992</c:v>
                </c:pt>
              </c:numCache>
            </c:numRef>
          </c:val>
          <c:extLst>
            <c:ext xmlns:c16="http://schemas.microsoft.com/office/drawing/2014/chart" uri="{C3380CC4-5D6E-409C-BE32-E72D297353CC}">
              <c16:uniqueId val="{00000000-54C2-4515-A3F6-17E7D372856A}"/>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'15.'!$C$1</c:f>
              <c:strCache>
                <c:ptCount val="1"/>
                <c:pt idx="0">
                  <c:v>Participations</c:v>
                </c:pt>
              </c:strCache>
            </c:strRef>
          </c:tx>
          <c:spPr>
            <a:ln w="28575" cap="rnd">
              <a:noFill/>
              <a:round/>
            </a:ln>
            <a:effectLst/>
          </c:spPr>
          <c:marker>
            <c:symbol val="triangle"/>
            <c:size val="8"/>
            <c:spPr>
              <a:solidFill>
                <a:srgbClr val="FFFF00"/>
              </a:solidFill>
              <a:ln w="9525">
                <a:solidFill>
                  <a:srgbClr val="FFFF00"/>
                </a:solidFill>
              </a:ln>
              <a:effectLst/>
            </c:spPr>
          </c:marker>
          <c:dPt>
            <c:idx val="1"/>
            <c:marker>
              <c:symbol val="triangle"/>
              <c:size val="8"/>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2-54C2-4515-A3F6-17E7D372856A}"/>
              </c:ext>
            </c:extLst>
          </c:dPt>
          <c:dPt>
            <c:idx val="5"/>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3-54C2-4515-A3F6-17E7D372856A}"/>
              </c:ext>
            </c:extLst>
          </c:dPt>
          <c:dPt>
            <c:idx val="7"/>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4-54C2-4515-A3F6-17E7D372856A}"/>
              </c:ext>
            </c:extLst>
          </c:dPt>
          <c:dPt>
            <c:idx val="8"/>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5-54C2-4515-A3F6-17E7D372856A}"/>
              </c:ext>
            </c:extLst>
          </c:dPt>
          <c:dPt>
            <c:idx val="9"/>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6-54C2-4515-A3F6-17E7D372856A}"/>
              </c:ext>
            </c:extLst>
          </c:dPt>
          <c:cat>
            <c:strRef>
              <c:f>'15.'!$A$2:$A$6</c:f>
              <c:strCache>
                <c:ptCount val="5"/>
                <c:pt idx="0">
                  <c:v>DE</c:v>
                </c:pt>
                <c:pt idx="1">
                  <c:v>AT</c:v>
                </c:pt>
                <c:pt idx="2">
                  <c:v>CZ</c:v>
                </c:pt>
                <c:pt idx="3">
                  <c:v>SI</c:v>
                </c:pt>
                <c:pt idx="4">
                  <c:v>RO</c:v>
                </c:pt>
              </c:strCache>
            </c:strRef>
          </c:cat>
          <c:val>
            <c:numRef>
              <c:f>'15.'!$C$2:$C$6</c:f>
              <c:numCache>
                <c:formatCode>#,##0</c:formatCode>
                <c:ptCount val="5"/>
                <c:pt idx="0">
                  <c:v>11570</c:v>
                </c:pt>
                <c:pt idx="1">
                  <c:v>2972</c:v>
                </c:pt>
                <c:pt idx="2">
                  <c:v>1429</c:v>
                </c:pt>
                <c:pt idx="3">
                  <c:v>1119</c:v>
                </c:pt>
                <c:pt idx="4">
                  <c:v>1102</c:v>
                </c:pt>
              </c:numCache>
            </c:numRef>
          </c:val>
          <c:smooth val="0"/>
          <c:extLst>
            <c:ext xmlns:c16="http://schemas.microsoft.com/office/drawing/2014/chart" uri="{C3380CC4-5D6E-409C-BE32-E72D297353CC}">
              <c16:uniqueId val="{00000007-54C2-4515-A3F6-17E7D372856A}"/>
            </c:ext>
          </c:extLst>
        </c:ser>
        <c:dLbls>
          <c:showLegendKey val="0"/>
          <c:showVal val="0"/>
          <c:showCatName val="0"/>
          <c:showSerName val="0"/>
          <c:showPercent val="0"/>
          <c:showBubbleSize val="0"/>
        </c:dLbls>
        <c:marker val="1"/>
        <c:smooth val="0"/>
        <c:axId val="221024016"/>
        <c:axId val="221022096"/>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valAx>
        <c:axId val="22102209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1024016"/>
        <c:crosses val="max"/>
        <c:crossBetween val="between"/>
      </c:valAx>
      <c:catAx>
        <c:axId val="221024016"/>
        <c:scaling>
          <c:orientation val="minMax"/>
        </c:scaling>
        <c:delete val="1"/>
        <c:axPos val="b"/>
        <c:numFmt formatCode="General" sourceLinked="1"/>
        <c:majorTickMark val="out"/>
        <c:minorTickMark val="none"/>
        <c:tickLblPos val="nextTo"/>
        <c:crossAx val="221022096"/>
        <c:crosses val="autoZero"/>
        <c:auto val="1"/>
        <c:lblAlgn val="ctr"/>
        <c:lblOffset val="100"/>
        <c:noMultiLvlLbl val="0"/>
      </c:catAx>
      <c:spPr>
        <a:noFill/>
        <a:ln>
          <a:noFill/>
        </a:ln>
        <a:effectLst/>
      </c:spPr>
    </c:plotArea>
    <c:legend>
      <c:legendPos val="b"/>
      <c:layout>
        <c:manualLayout>
          <c:xMode val="edge"/>
          <c:yMode val="edge"/>
          <c:x val="0.43214408543759614"/>
          <c:y val="5.7859655578677727E-2"/>
          <c:w val="0.43692817890597191"/>
          <c:h val="5.212054438891497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7261777708250043"/>
        </c:manualLayout>
      </c:layout>
      <c:barChart>
        <c:barDir val="col"/>
        <c:grouping val="clustered"/>
        <c:varyColors val="0"/>
        <c:ser>
          <c:idx val="0"/>
          <c:order val="0"/>
          <c:tx>
            <c:strRef>
              <c:f>'15.'!$B$1</c:f>
              <c:strCache>
                <c:ptCount val="1"/>
                <c:pt idx="0">
                  <c:v>EU Contribution</c:v>
                </c:pt>
              </c:strCache>
            </c:strRef>
          </c:tx>
          <c:spPr>
            <a:solidFill>
              <a:schemeClr val="accent1"/>
            </a:solidFill>
            <a:ln>
              <a:noFill/>
            </a:ln>
            <a:effectLst/>
          </c:spPr>
          <c:invertIfNegative val="0"/>
          <c:cat>
            <c:strRef>
              <c:f>'15.'!$A$7:$A$15</c:f>
              <c:strCache>
                <c:ptCount val="9"/>
                <c:pt idx="0">
                  <c:v>HU</c:v>
                </c:pt>
                <c:pt idx="1">
                  <c:v>BG</c:v>
                </c:pt>
                <c:pt idx="2">
                  <c:v>HR</c:v>
                </c:pt>
                <c:pt idx="3">
                  <c:v>SK</c:v>
                </c:pt>
                <c:pt idx="4">
                  <c:v>RS</c:v>
                </c:pt>
                <c:pt idx="5">
                  <c:v>UA</c:v>
                </c:pt>
                <c:pt idx="6">
                  <c:v>BA</c:v>
                </c:pt>
                <c:pt idx="7">
                  <c:v>MD</c:v>
                </c:pt>
                <c:pt idx="8">
                  <c:v>ME</c:v>
                </c:pt>
              </c:strCache>
            </c:strRef>
          </c:cat>
          <c:val>
            <c:numRef>
              <c:f>'15.'!$B$7:$B$15</c:f>
              <c:numCache>
                <c:formatCode>#,##0.00</c:formatCode>
                <c:ptCount val="9"/>
                <c:pt idx="0">
                  <c:v>195969093.04999995</c:v>
                </c:pt>
                <c:pt idx="1">
                  <c:v>163487358.78000003</c:v>
                </c:pt>
                <c:pt idx="2">
                  <c:v>134624757.06999999</c:v>
                </c:pt>
                <c:pt idx="3">
                  <c:v>125913353.83999999</c:v>
                </c:pt>
                <c:pt idx="4">
                  <c:v>122282482.09999999</c:v>
                </c:pt>
                <c:pt idx="5">
                  <c:v>69067151.540000007</c:v>
                </c:pt>
                <c:pt idx="6">
                  <c:v>9154671.7300000004</c:v>
                </c:pt>
                <c:pt idx="7">
                  <c:v>6481232.4100000001</c:v>
                </c:pt>
                <c:pt idx="8">
                  <c:v>4451191.4799999995</c:v>
                </c:pt>
              </c:numCache>
            </c:numRef>
          </c:val>
          <c:extLst>
            <c:ext xmlns:c16="http://schemas.microsoft.com/office/drawing/2014/chart" uri="{C3380CC4-5D6E-409C-BE32-E72D297353CC}">
              <c16:uniqueId val="{00000000-8DF9-461F-AA02-1042A711FFFF}"/>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'15.'!$C$1</c:f>
              <c:strCache>
                <c:ptCount val="1"/>
                <c:pt idx="0">
                  <c:v>Participations</c:v>
                </c:pt>
              </c:strCache>
            </c:strRef>
          </c:tx>
          <c:spPr>
            <a:ln w="28575" cap="rnd">
              <a:noFill/>
              <a:round/>
            </a:ln>
            <a:effectLst/>
          </c:spPr>
          <c:marker>
            <c:symbol val="triangle"/>
            <c:size val="8"/>
            <c:spPr>
              <a:solidFill>
                <a:srgbClr val="FFFF00"/>
              </a:solidFill>
              <a:ln w="9525">
                <a:solidFill>
                  <a:srgbClr val="FFFF00"/>
                </a:solidFill>
              </a:ln>
              <a:effectLst/>
            </c:spPr>
          </c:marker>
          <c:dPt>
            <c:idx val="0"/>
            <c:marker>
              <c:symbol val="triangle"/>
              <c:size val="8"/>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2-8DF9-461F-AA02-1042A711FFFF}"/>
              </c:ext>
            </c:extLst>
          </c:dPt>
          <c:dPt>
            <c:idx val="1"/>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3-8DF9-461F-AA02-1042A711FFFF}"/>
              </c:ext>
            </c:extLst>
          </c:dPt>
          <c:dPt>
            <c:idx val="2"/>
            <c:marker>
              <c:symbol val="triangle"/>
              <c:size val="8"/>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5-8DF9-461F-AA02-1042A711FFFF}"/>
              </c:ext>
            </c:extLst>
          </c:dPt>
          <c:dPt>
            <c:idx val="3"/>
            <c:marker>
              <c:symbol val="triangle"/>
              <c:size val="8"/>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7-8DF9-461F-AA02-1042A711FFFF}"/>
              </c:ext>
            </c:extLst>
          </c:dPt>
          <c:dPt>
            <c:idx val="4"/>
            <c:marker>
              <c:symbol val="triangle"/>
              <c:size val="8"/>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9-8DF9-461F-AA02-1042A711FFFF}"/>
              </c:ext>
            </c:extLst>
          </c:dPt>
          <c:dPt>
            <c:idx val="5"/>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A-8DF9-461F-AA02-1042A711FFFF}"/>
              </c:ext>
            </c:extLst>
          </c:dPt>
          <c:dPt>
            <c:idx val="6"/>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B-8DF9-461F-AA02-1042A711FFFF}"/>
              </c:ext>
            </c:extLst>
          </c:dPt>
          <c:dPt>
            <c:idx val="8"/>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C-8DF9-461F-AA02-1042A711FFFF}"/>
              </c:ext>
            </c:extLst>
          </c:dPt>
          <c:dPt>
            <c:idx val="9"/>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D-8DF9-461F-AA02-1042A711FFFF}"/>
              </c:ext>
            </c:extLst>
          </c:dPt>
          <c:cat>
            <c:strRef>
              <c:f>'15.'!$A$7:$A$15</c:f>
              <c:strCache>
                <c:ptCount val="9"/>
                <c:pt idx="0">
                  <c:v>HU</c:v>
                </c:pt>
                <c:pt idx="1">
                  <c:v>BG</c:v>
                </c:pt>
                <c:pt idx="2">
                  <c:v>HR</c:v>
                </c:pt>
                <c:pt idx="3">
                  <c:v>SK</c:v>
                </c:pt>
                <c:pt idx="4">
                  <c:v>RS</c:v>
                </c:pt>
                <c:pt idx="5">
                  <c:v>UA</c:v>
                </c:pt>
                <c:pt idx="6">
                  <c:v>BA</c:v>
                </c:pt>
                <c:pt idx="7">
                  <c:v>MD</c:v>
                </c:pt>
                <c:pt idx="8">
                  <c:v>ME</c:v>
                </c:pt>
              </c:strCache>
            </c:strRef>
          </c:cat>
          <c:val>
            <c:numRef>
              <c:f>'15.'!$C$7:$C$15</c:f>
              <c:numCache>
                <c:formatCode>#,##0</c:formatCode>
                <c:ptCount val="9"/>
                <c:pt idx="0">
                  <c:v>795</c:v>
                </c:pt>
                <c:pt idx="1">
                  <c:v>620</c:v>
                </c:pt>
                <c:pt idx="2">
                  <c:v>553</c:v>
                </c:pt>
                <c:pt idx="3">
                  <c:v>444</c:v>
                </c:pt>
                <c:pt idx="4">
                  <c:v>475</c:v>
                </c:pt>
                <c:pt idx="5">
                  <c:v>338</c:v>
                </c:pt>
                <c:pt idx="6" formatCode="General">
                  <c:v>55</c:v>
                </c:pt>
                <c:pt idx="7">
                  <c:v>66</c:v>
                </c:pt>
                <c:pt idx="8">
                  <c:v>32</c:v>
                </c:pt>
              </c:numCache>
            </c:numRef>
          </c:val>
          <c:smooth val="0"/>
          <c:extLst>
            <c:ext xmlns:c16="http://schemas.microsoft.com/office/drawing/2014/chart" uri="{C3380CC4-5D6E-409C-BE32-E72D297353CC}">
              <c16:uniqueId val="{0000000E-8DF9-461F-AA02-1042A711FFFF}"/>
            </c:ext>
          </c:extLst>
        </c:ser>
        <c:dLbls>
          <c:showLegendKey val="0"/>
          <c:showVal val="0"/>
          <c:showCatName val="0"/>
          <c:showSerName val="0"/>
          <c:showPercent val="0"/>
          <c:showBubbleSize val="0"/>
        </c:dLbls>
        <c:marker val="1"/>
        <c:smooth val="0"/>
        <c:axId val="221024016"/>
        <c:axId val="221022096"/>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valAx>
        <c:axId val="22102209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1024016"/>
        <c:crosses val="max"/>
        <c:crossBetween val="between"/>
      </c:valAx>
      <c:catAx>
        <c:axId val="221024016"/>
        <c:scaling>
          <c:orientation val="minMax"/>
        </c:scaling>
        <c:delete val="1"/>
        <c:axPos val="b"/>
        <c:numFmt formatCode="General" sourceLinked="1"/>
        <c:majorTickMark val="out"/>
        <c:minorTickMark val="none"/>
        <c:tickLblPos val="nextTo"/>
        <c:crossAx val="221022096"/>
        <c:crosses val="autoZero"/>
        <c:auto val="1"/>
        <c:lblAlgn val="ctr"/>
        <c:lblOffset val="100"/>
        <c:noMultiLvlLbl val="0"/>
      </c:catAx>
      <c:spPr>
        <a:noFill/>
        <a:ln>
          <a:noFill/>
        </a:ln>
        <a:effectLst/>
      </c:spPr>
    </c:plotArea>
    <c:legend>
      <c:legendPos val="b"/>
      <c:layout>
        <c:manualLayout>
          <c:xMode val="edge"/>
          <c:yMode val="edge"/>
          <c:x val="0.43214408543759614"/>
          <c:y val="5.7859655578677727E-2"/>
          <c:w val="0.48102961220255408"/>
          <c:h val="5.212054438891497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7261777708250043"/>
        </c:manualLayout>
      </c:layout>
      <c:barChart>
        <c:barDir val="col"/>
        <c:grouping val="clustered"/>
        <c:varyColors val="0"/>
        <c:ser>
          <c:idx val="0"/>
          <c:order val="0"/>
          <c:tx>
            <c:strRef>
              <c:f>'16.'!$K$1</c:f>
              <c:strCache>
                <c:ptCount val="1"/>
                <c:pt idx="0">
                  <c:v>EU contribution per capita</c:v>
                </c:pt>
              </c:strCache>
            </c:strRef>
          </c:tx>
          <c:spPr>
            <a:solidFill>
              <a:schemeClr val="accent1"/>
            </a:solidFill>
            <a:ln>
              <a:noFill/>
            </a:ln>
            <a:effectLst/>
          </c:spPr>
          <c:invertIfNegative val="0"/>
          <c:cat>
            <c:strRef>
              <c:f>'16.'!$J$2:$J$15</c:f>
              <c:strCache>
                <c:ptCount val="14"/>
                <c:pt idx="0">
                  <c:v>SI</c:v>
                </c:pt>
                <c:pt idx="1">
                  <c:v>AT</c:v>
                </c:pt>
                <c:pt idx="2">
                  <c:v>DE</c:v>
                </c:pt>
                <c:pt idx="3">
                  <c:v>CZ</c:v>
                </c:pt>
                <c:pt idx="4">
                  <c:v>HR</c:v>
                </c:pt>
                <c:pt idx="5">
                  <c:v>BG</c:v>
                </c:pt>
                <c:pt idx="6">
                  <c:v>SK</c:v>
                </c:pt>
                <c:pt idx="7">
                  <c:v>HU</c:v>
                </c:pt>
                <c:pt idx="8">
                  <c:v>RS</c:v>
                </c:pt>
                <c:pt idx="9">
                  <c:v>RO</c:v>
                </c:pt>
                <c:pt idx="10">
                  <c:v>ME</c:v>
                </c:pt>
                <c:pt idx="11">
                  <c:v>BA</c:v>
                </c:pt>
                <c:pt idx="12">
                  <c:v>MD</c:v>
                </c:pt>
                <c:pt idx="13">
                  <c:v>UA</c:v>
                </c:pt>
              </c:strCache>
            </c:strRef>
          </c:cat>
          <c:val>
            <c:numRef>
              <c:f>'16.'!$K$2:$K$15</c:f>
              <c:numCache>
                <c:formatCode>General</c:formatCode>
                <c:ptCount val="14"/>
                <c:pt idx="0">
                  <c:v>171.86321871988656</c:v>
                </c:pt>
                <c:pt idx="1">
                  <c:v>155.33824661911589</c:v>
                </c:pt>
                <c:pt idx="2">
                  <c:v>86.845704824382423</c:v>
                </c:pt>
                <c:pt idx="3">
                  <c:v>48.764013693090732</c:v>
                </c:pt>
                <c:pt idx="4">
                  <c:v>34.985643729209976</c:v>
                </c:pt>
                <c:pt idx="5">
                  <c:v>24.350217274352104</c:v>
                </c:pt>
                <c:pt idx="6">
                  <c:v>23.002074139568869</c:v>
                </c:pt>
                <c:pt idx="7">
                  <c:v>20.345628431270761</c:v>
                </c:pt>
                <c:pt idx="8">
                  <c:v>18.281130527732095</c:v>
                </c:pt>
                <c:pt idx="9">
                  <c:v>15.228867276285166</c:v>
                </c:pt>
                <c:pt idx="10">
                  <c:v>7.0430244936708855</c:v>
                </c:pt>
                <c:pt idx="11">
                  <c:v>2.9155005509554139</c:v>
                </c:pt>
                <c:pt idx="12">
                  <c:v>2.1632951969292389</c:v>
                </c:pt>
                <c:pt idx="13">
                  <c:v>1.7718612503848128</c:v>
                </c:pt>
              </c:numCache>
            </c:numRef>
          </c:val>
          <c:extLst>
            <c:ext xmlns:c16="http://schemas.microsoft.com/office/drawing/2014/chart" uri="{C3380CC4-5D6E-409C-BE32-E72D297353CC}">
              <c16:uniqueId val="{00000000-2D1F-44C7-BFEB-0899650836DD}"/>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'16.'!$L$1</c:f>
              <c:strCache>
                <c:ptCount val="1"/>
                <c:pt idx="0">
                  <c:v>Participation per 1 mil. population</c:v>
                </c:pt>
              </c:strCache>
            </c:strRef>
          </c:tx>
          <c:spPr>
            <a:ln w="25400" cap="rnd">
              <a:noFill/>
              <a:round/>
            </a:ln>
            <a:effectLst/>
          </c:spPr>
          <c:marker>
            <c:symbol val="triangle"/>
            <c:size val="8"/>
            <c:spPr>
              <a:solidFill>
                <a:srgbClr val="FFFF00"/>
              </a:solidFill>
              <a:ln w="9525">
                <a:solidFill>
                  <a:srgbClr val="FFFF00"/>
                </a:solidFill>
              </a:ln>
              <a:effectLst/>
            </c:spPr>
          </c:marker>
          <c:dPt>
            <c:idx val="4"/>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1-2D1F-44C7-BFEB-0899650836DD}"/>
              </c:ext>
            </c:extLst>
          </c:dPt>
          <c:dPt>
            <c:idx val="5"/>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2-2D1F-44C7-BFEB-0899650836DD}"/>
              </c:ext>
            </c:extLst>
          </c:dPt>
          <c:dPt>
            <c:idx val="7"/>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3-2D1F-44C7-BFEB-0899650836DD}"/>
              </c:ext>
            </c:extLst>
          </c:dPt>
          <c:dPt>
            <c:idx val="8"/>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4-2D1F-44C7-BFEB-0899650836DD}"/>
              </c:ext>
            </c:extLst>
          </c:dPt>
          <c:dPt>
            <c:idx val="9"/>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5-2D1F-44C7-BFEB-0899650836DD}"/>
              </c:ext>
            </c:extLst>
          </c:dPt>
          <c:dPt>
            <c:idx val="10"/>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6-2D1F-44C7-BFEB-0899650836DD}"/>
              </c:ext>
            </c:extLst>
          </c:dPt>
          <c:dPt>
            <c:idx val="12"/>
            <c:marker>
              <c:symbol val="triangle"/>
              <c:size val="8"/>
              <c:spPr>
                <a:solidFill>
                  <a:srgbClr val="FFFF00"/>
                </a:solidFill>
                <a:ln w="9525">
                  <a:solidFill>
                    <a:srgbClr val="FFFF00"/>
                  </a:solidFill>
                </a:ln>
                <a:effectLst/>
              </c:spPr>
            </c:marker>
            <c:bubble3D val="0"/>
            <c:extLst>
              <c:ext xmlns:c16="http://schemas.microsoft.com/office/drawing/2014/chart" uri="{C3380CC4-5D6E-409C-BE32-E72D297353CC}">
                <c16:uniqueId val="{00000007-2D1F-44C7-BFEB-0899650836DD}"/>
              </c:ext>
            </c:extLst>
          </c:dPt>
          <c:cat>
            <c:strRef>
              <c:f>'16.'!$J$2:$J$15</c:f>
              <c:strCache>
                <c:ptCount val="14"/>
                <c:pt idx="0">
                  <c:v>SI</c:v>
                </c:pt>
                <c:pt idx="1">
                  <c:v>AT</c:v>
                </c:pt>
                <c:pt idx="2">
                  <c:v>DE</c:v>
                </c:pt>
                <c:pt idx="3">
                  <c:v>CZ</c:v>
                </c:pt>
                <c:pt idx="4">
                  <c:v>HR</c:v>
                </c:pt>
                <c:pt idx="5">
                  <c:v>BG</c:v>
                </c:pt>
                <c:pt idx="6">
                  <c:v>SK</c:v>
                </c:pt>
                <c:pt idx="7">
                  <c:v>HU</c:v>
                </c:pt>
                <c:pt idx="8">
                  <c:v>RS</c:v>
                </c:pt>
                <c:pt idx="9">
                  <c:v>RO</c:v>
                </c:pt>
                <c:pt idx="10">
                  <c:v>ME</c:v>
                </c:pt>
                <c:pt idx="11">
                  <c:v>BA</c:v>
                </c:pt>
                <c:pt idx="12">
                  <c:v>MD</c:v>
                </c:pt>
                <c:pt idx="13">
                  <c:v>UA</c:v>
                </c:pt>
              </c:strCache>
            </c:strRef>
          </c:cat>
          <c:val>
            <c:numRef>
              <c:f>'16.'!$L$2:$L$15</c:f>
              <c:numCache>
                <c:formatCode>General</c:formatCode>
                <c:ptCount val="14"/>
                <c:pt idx="0">
                  <c:v>528.57817666509209</c:v>
                </c:pt>
                <c:pt idx="1">
                  <c:v>326.12751015033473</c:v>
                </c:pt>
                <c:pt idx="2">
                  <c:v>137.6152245019328</c:v>
                </c:pt>
                <c:pt idx="3">
                  <c:v>134.69695541521349</c:v>
                </c:pt>
                <c:pt idx="4">
                  <c:v>143.71101871101871</c:v>
                </c:pt>
                <c:pt idx="5">
                  <c:v>92.344355078939529</c:v>
                </c:pt>
                <c:pt idx="6">
                  <c:v>81.110705151625865</c:v>
                </c:pt>
                <c:pt idx="7">
                  <c:v>82.537375415282398</c:v>
                </c:pt>
                <c:pt idx="8">
                  <c:v>71.012109433398109</c:v>
                </c:pt>
                <c:pt idx="9">
                  <c:v>58.282208588957054</c:v>
                </c:pt>
                <c:pt idx="10">
                  <c:v>50.632911392405063</c:v>
                </c:pt>
                <c:pt idx="11">
                  <c:v>17.515923566878982</c:v>
                </c:pt>
                <c:pt idx="12">
                  <c:v>22.029372496662216</c:v>
                </c:pt>
                <c:pt idx="13">
                  <c:v>8.6711133914828125</c:v>
                </c:pt>
              </c:numCache>
            </c:numRef>
          </c:val>
          <c:smooth val="0"/>
          <c:extLst>
            <c:ext xmlns:c16="http://schemas.microsoft.com/office/drawing/2014/chart" uri="{C3380CC4-5D6E-409C-BE32-E72D297353CC}">
              <c16:uniqueId val="{00000008-2D1F-44C7-BFEB-0899650836DD}"/>
            </c:ext>
          </c:extLst>
        </c:ser>
        <c:dLbls>
          <c:showLegendKey val="0"/>
          <c:showVal val="0"/>
          <c:showCatName val="0"/>
          <c:showSerName val="0"/>
          <c:showPercent val="0"/>
          <c:showBubbleSize val="0"/>
        </c:dLbls>
        <c:marker val="1"/>
        <c:smooth val="0"/>
        <c:axId val="221024016"/>
        <c:axId val="221022096"/>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valAx>
        <c:axId val="2210220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1024016"/>
        <c:crosses val="max"/>
        <c:crossBetween val="between"/>
      </c:valAx>
      <c:catAx>
        <c:axId val="221024016"/>
        <c:scaling>
          <c:orientation val="minMax"/>
        </c:scaling>
        <c:delete val="1"/>
        <c:axPos val="b"/>
        <c:numFmt formatCode="General" sourceLinked="1"/>
        <c:majorTickMark val="out"/>
        <c:minorTickMark val="none"/>
        <c:tickLblPos val="nextTo"/>
        <c:crossAx val="221022096"/>
        <c:crosses val="autoZero"/>
        <c:auto val="1"/>
        <c:lblAlgn val="ctr"/>
        <c:lblOffset val="100"/>
        <c:noMultiLvlLbl val="0"/>
      </c:catAx>
      <c:spPr>
        <a:noFill/>
        <a:ln>
          <a:noFill/>
        </a:ln>
        <a:effectLst/>
      </c:spPr>
    </c:plotArea>
    <c:legend>
      <c:legendPos val="b"/>
      <c:layout>
        <c:manualLayout>
          <c:xMode val="edge"/>
          <c:yMode val="edge"/>
          <c:x val="0.23589266336195297"/>
          <c:y val="5.7859655578677727E-2"/>
          <c:w val="0.4925060552656938"/>
          <c:h val="0.1493224171720802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7261777708250043"/>
        </c:manualLayout>
      </c:layout>
      <c:barChart>
        <c:barDir val="col"/>
        <c:grouping val="clustered"/>
        <c:varyColors val="0"/>
        <c:ser>
          <c:idx val="0"/>
          <c:order val="0"/>
          <c:tx>
            <c:strRef>
              <c:f>'17.'!$N$1</c:f>
              <c:strCache>
                <c:ptCount val="1"/>
                <c:pt idx="0">
                  <c:v>EC Contribution per researcher</c:v>
                </c:pt>
              </c:strCache>
            </c:strRef>
          </c:tx>
          <c:spPr>
            <a:solidFill>
              <a:schemeClr val="accent1"/>
            </a:solidFill>
            <a:ln>
              <a:noFill/>
            </a:ln>
            <a:effectLst/>
          </c:spPr>
          <c:invertIfNegative val="0"/>
          <c:cat>
            <c:strRef>
              <c:f>'17.'!$M$2:$M$15</c:f>
              <c:strCache>
                <c:ptCount val="14"/>
                <c:pt idx="0">
                  <c:v>SI</c:v>
                </c:pt>
                <c:pt idx="1">
                  <c:v>AT</c:v>
                </c:pt>
                <c:pt idx="2">
                  <c:v>RO</c:v>
                </c:pt>
                <c:pt idx="3">
                  <c:v>DE</c:v>
                </c:pt>
                <c:pt idx="4">
                  <c:v>HR</c:v>
                </c:pt>
                <c:pt idx="5">
                  <c:v>CZ</c:v>
                </c:pt>
                <c:pt idx="6">
                  <c:v>BG</c:v>
                </c:pt>
                <c:pt idx="7">
                  <c:v>ME</c:v>
                </c:pt>
                <c:pt idx="8">
                  <c:v>RS</c:v>
                </c:pt>
                <c:pt idx="9">
                  <c:v>SK</c:v>
                </c:pt>
                <c:pt idx="10">
                  <c:v>BA</c:v>
                </c:pt>
                <c:pt idx="11">
                  <c:v>HU</c:v>
                </c:pt>
                <c:pt idx="12">
                  <c:v>UA</c:v>
                </c:pt>
                <c:pt idx="13">
                  <c:v>MD</c:v>
                </c:pt>
              </c:strCache>
            </c:strRef>
          </c:cat>
          <c:val>
            <c:numRef>
              <c:f>'17.'!$N$2:$N$15</c:f>
              <c:numCache>
                <c:formatCode>#,##0.00</c:formatCode>
                <c:ptCount val="14"/>
                <c:pt idx="0">
                  <c:v>32106.615040962504</c:v>
                </c:pt>
                <c:pt idx="1">
                  <c:v>23164.330301327645</c:v>
                </c:pt>
                <c:pt idx="2">
                  <c:v>15326.552437636159</c:v>
                </c:pt>
                <c:pt idx="3">
                  <c:v>14944.13072061373</c:v>
                </c:pt>
                <c:pt idx="4">
                  <c:v>14262.379559135836</c:v>
                </c:pt>
                <c:pt idx="5">
                  <c:v>10361.875412543784</c:v>
                </c:pt>
                <c:pt idx="6">
                  <c:v>9515.6491345002705</c:v>
                </c:pt>
                <c:pt idx="7">
                  <c:v>9474.3246408232335</c:v>
                </c:pt>
                <c:pt idx="8">
                  <c:v>7780.2744828264695</c:v>
                </c:pt>
                <c:pt idx="9">
                  <c:v>6802.3099056956517</c:v>
                </c:pt>
                <c:pt idx="10">
                  <c:v>5449.4837270846992</c:v>
                </c:pt>
                <c:pt idx="11">
                  <c:v>4307.2124357897474</c:v>
                </c:pt>
                <c:pt idx="12">
                  <c:v>3050.6693013947315</c:v>
                </c:pt>
                <c:pt idx="13">
                  <c:v>2816.7091638264465</c:v>
                </c:pt>
              </c:numCache>
            </c:numRef>
          </c:val>
          <c:extLst>
            <c:ext xmlns:c16="http://schemas.microsoft.com/office/drawing/2014/chart" uri="{C3380CC4-5D6E-409C-BE32-E72D297353CC}">
              <c16:uniqueId val="{00000000-ABFE-4BD5-AA5F-007AFBFA56AD}"/>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'17.'!$O$1</c:f>
              <c:strCache>
                <c:ptCount val="1"/>
                <c:pt idx="0">
                  <c:v>Participation per 1000 researchers</c:v>
                </c:pt>
              </c:strCache>
            </c:strRef>
          </c:tx>
          <c:spPr>
            <a:ln w="25400" cap="rnd">
              <a:noFill/>
              <a:round/>
            </a:ln>
            <a:effectLst/>
          </c:spPr>
          <c:marker>
            <c:symbol val="triangle"/>
            <c:size val="8"/>
            <c:spPr>
              <a:solidFill>
                <a:srgbClr val="FFFF00"/>
              </a:solidFill>
              <a:ln w="9525">
                <a:solidFill>
                  <a:srgbClr val="FFFF00"/>
                </a:solidFill>
              </a:ln>
              <a:effectLst/>
            </c:spPr>
          </c:marker>
          <c:cat>
            <c:strRef>
              <c:f>'17.'!$M$2:$M$15</c:f>
              <c:strCache>
                <c:ptCount val="14"/>
                <c:pt idx="0">
                  <c:v>SI</c:v>
                </c:pt>
                <c:pt idx="1">
                  <c:v>AT</c:v>
                </c:pt>
                <c:pt idx="2">
                  <c:v>RO</c:v>
                </c:pt>
                <c:pt idx="3">
                  <c:v>DE</c:v>
                </c:pt>
                <c:pt idx="4">
                  <c:v>HR</c:v>
                </c:pt>
                <c:pt idx="5">
                  <c:v>CZ</c:v>
                </c:pt>
                <c:pt idx="6">
                  <c:v>BG</c:v>
                </c:pt>
                <c:pt idx="7">
                  <c:v>ME</c:v>
                </c:pt>
                <c:pt idx="8">
                  <c:v>RS</c:v>
                </c:pt>
                <c:pt idx="9">
                  <c:v>SK</c:v>
                </c:pt>
                <c:pt idx="10">
                  <c:v>BA</c:v>
                </c:pt>
                <c:pt idx="11">
                  <c:v>HU</c:v>
                </c:pt>
                <c:pt idx="12">
                  <c:v>UA</c:v>
                </c:pt>
                <c:pt idx="13">
                  <c:v>MD</c:v>
                </c:pt>
              </c:strCache>
            </c:strRef>
          </c:cat>
          <c:val>
            <c:numRef>
              <c:f>'17.'!$O$2:$O$15</c:f>
              <c:numCache>
                <c:formatCode>General</c:formatCode>
                <c:ptCount val="14"/>
                <c:pt idx="0">
                  <c:v>98.746294661803972</c:v>
                </c:pt>
                <c:pt idx="1">
                  <c:v>48.632745186028636</c:v>
                </c:pt>
                <c:pt idx="2">
                  <c:v>58.6560582552924</c:v>
                </c:pt>
                <c:pt idx="3">
                  <c:v>23.68038705267211</c:v>
                </c:pt>
                <c:pt idx="4">
                  <c:v>58.585776255856963</c:v>
                </c:pt>
                <c:pt idx="5">
                  <c:v>28.621784073101487</c:v>
                </c:pt>
                <c:pt idx="6">
                  <c:v>36.086597198803723</c:v>
                </c:pt>
                <c:pt idx="7">
                  <c:v>68.111738142153243</c:v>
                </c:pt>
                <c:pt idx="8">
                  <c:v>30.222075279109607</c:v>
                </c:pt>
                <c:pt idx="9">
                  <c:v>23.986539203512251</c:v>
                </c:pt>
                <c:pt idx="10">
                  <c:v>32.73974357894955</c:v>
                </c:pt>
                <c:pt idx="11">
                  <c:v>17.473336397894045</c:v>
                </c:pt>
                <c:pt idx="12">
                  <c:v>14.929328933946929</c:v>
                </c:pt>
                <c:pt idx="13">
                  <c:v>28.68324927304149</c:v>
                </c:pt>
              </c:numCache>
            </c:numRef>
          </c:val>
          <c:smooth val="0"/>
          <c:extLst>
            <c:ext xmlns:c16="http://schemas.microsoft.com/office/drawing/2014/chart" uri="{C3380CC4-5D6E-409C-BE32-E72D297353CC}">
              <c16:uniqueId val="{00000001-ABFE-4BD5-AA5F-007AFBFA56AD}"/>
            </c:ext>
          </c:extLst>
        </c:ser>
        <c:dLbls>
          <c:showLegendKey val="0"/>
          <c:showVal val="0"/>
          <c:showCatName val="0"/>
          <c:showSerName val="0"/>
          <c:showPercent val="0"/>
          <c:showBubbleSize val="0"/>
        </c:dLbls>
        <c:marker val="1"/>
        <c:smooth val="0"/>
        <c:axId val="221024016"/>
        <c:axId val="221022096"/>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valAx>
        <c:axId val="2210220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1024016"/>
        <c:crosses val="max"/>
        <c:crossBetween val="between"/>
      </c:valAx>
      <c:catAx>
        <c:axId val="221024016"/>
        <c:scaling>
          <c:orientation val="minMax"/>
        </c:scaling>
        <c:delete val="1"/>
        <c:axPos val="b"/>
        <c:numFmt formatCode="General" sourceLinked="1"/>
        <c:majorTickMark val="out"/>
        <c:minorTickMark val="none"/>
        <c:tickLblPos val="nextTo"/>
        <c:crossAx val="221022096"/>
        <c:crosses val="autoZero"/>
        <c:auto val="1"/>
        <c:lblAlgn val="ctr"/>
        <c:lblOffset val="100"/>
        <c:noMultiLvlLbl val="0"/>
      </c:catAx>
      <c:spPr>
        <a:noFill/>
        <a:ln>
          <a:noFill/>
        </a:ln>
        <a:effectLst/>
      </c:spPr>
    </c:plotArea>
    <c:legend>
      <c:legendPos val="b"/>
      <c:layout>
        <c:manualLayout>
          <c:xMode val="edge"/>
          <c:yMode val="edge"/>
          <c:x val="0.2711738099992187"/>
          <c:y val="5.7859655578677727E-2"/>
          <c:w val="0.45722490862842796"/>
          <c:h val="0.1493224171720802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'2.'!$C$1</c:f>
              <c:strCache>
                <c:ptCount val="1"/>
                <c:pt idx="0">
                  <c:v>Progress</c:v>
                </c:pt>
              </c:strCache>
            </c:strRef>
          </c:tx>
          <c:spPr>
            <a:solidFill>
              <a:schemeClr val="accent1"/>
            </a:solidFill>
            <a:ln>
              <a:noFill/>
            </a:ln>
            <a:effectLst/>
          </c:spPr>
          <c:invertIfNegative val="0"/>
          <c:cat>
            <c:strRef>
              <c:f>'2.'!$B$2:$B$15</c:f>
              <c:strCache>
                <c:ptCount val="14"/>
                <c:pt idx="0">
                  <c:v>CZ</c:v>
                </c:pt>
                <c:pt idx="1">
                  <c:v>HR</c:v>
                </c:pt>
                <c:pt idx="2">
                  <c:v>HU</c:v>
                </c:pt>
                <c:pt idx="3">
                  <c:v>RS</c:v>
                </c:pt>
                <c:pt idx="4">
                  <c:v>BA</c:v>
                </c:pt>
                <c:pt idx="5">
                  <c:v>ME</c:v>
                </c:pt>
                <c:pt idx="6">
                  <c:v>SI</c:v>
                </c:pt>
                <c:pt idx="7">
                  <c:v>AT</c:v>
                </c:pt>
                <c:pt idx="8">
                  <c:v>DE</c:v>
                </c:pt>
                <c:pt idx="9">
                  <c:v>UA</c:v>
                </c:pt>
                <c:pt idx="10">
                  <c:v>BG</c:v>
                </c:pt>
                <c:pt idx="11">
                  <c:v>SK</c:v>
                </c:pt>
                <c:pt idx="12">
                  <c:v>RO</c:v>
                </c:pt>
                <c:pt idx="13">
                  <c:v>MD</c:v>
                </c:pt>
              </c:strCache>
            </c:strRef>
          </c:cat>
          <c:val>
            <c:numRef>
              <c:f>'2.'!$C$2:$C$15</c:f>
              <c:numCache>
                <c:formatCode>_-\ #\ ##0.00_-;\-* #\ ##0.00_-;_-* "-"??_-;_-@_-</c:formatCode>
                <c:ptCount val="14"/>
                <c:pt idx="0">
                  <c:v>7.8482402207317004E-2</c:v>
                </c:pt>
                <c:pt idx="1">
                  <c:v>7.2236138903658043E-2</c:v>
                </c:pt>
                <c:pt idx="2">
                  <c:v>4.3722981248585979E-2</c:v>
                </c:pt>
                <c:pt idx="3">
                  <c:v>3.7046327983289995E-2</c:v>
                </c:pt>
                <c:pt idx="4">
                  <c:v>3.1813020600292979E-2</c:v>
                </c:pt>
                <c:pt idx="5">
                  <c:v>2.8288689270760975E-2</c:v>
                </c:pt>
                <c:pt idx="6">
                  <c:v>2.3266981899338957E-2</c:v>
                </c:pt>
                <c:pt idx="7">
                  <c:v>2.3033597942093031E-2</c:v>
                </c:pt>
                <c:pt idx="8">
                  <c:v>1.9346877746519997E-2</c:v>
                </c:pt>
                <c:pt idx="9">
                  <c:v>1.8371573002939012E-2</c:v>
                </c:pt>
                <c:pt idx="10">
                  <c:v>1.4016981300626008E-2</c:v>
                </c:pt>
                <c:pt idx="11">
                  <c:v>1.3372137349744018E-2</c:v>
                </c:pt>
                <c:pt idx="12">
                  <c:v>7.4425657600059869E-3</c:v>
                </c:pt>
                <c:pt idx="13">
                  <c:v>1.2184829391579943E-3</c:v>
                </c:pt>
              </c:numCache>
            </c:numRef>
          </c:val>
          <c:extLst>
            <c:ext xmlns:c16="http://schemas.microsoft.com/office/drawing/2014/chart" uri="{C3380CC4-5D6E-409C-BE32-E72D297353CC}">
              <c16:uniqueId val="{00000000-D504-4A9B-A788-EF319EADCD95}"/>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'2.'!$D$1</c:f>
              <c:strCache>
                <c:ptCount val="1"/>
                <c:pt idx="0">
                  <c:v>%</c:v>
                </c:pt>
              </c:strCache>
            </c:strRef>
          </c:tx>
          <c:spPr>
            <a:ln w="25400" cap="rnd">
              <a:noFill/>
              <a:round/>
            </a:ln>
            <a:effectLst/>
          </c:spPr>
          <c:marker>
            <c:symbol val="triangle"/>
            <c:size val="8"/>
            <c:spPr>
              <a:solidFill>
                <a:srgbClr val="FFFF00"/>
              </a:solidFill>
              <a:ln w="9525">
                <a:solidFill>
                  <a:srgbClr val="FFFF00"/>
                </a:solidFill>
              </a:ln>
              <a:effectLst/>
            </c:spPr>
          </c:marker>
          <c:cat>
            <c:strRef>
              <c:f>'2.'!$B$2:$B$15</c:f>
              <c:strCache>
                <c:ptCount val="14"/>
                <c:pt idx="0">
                  <c:v>CZ</c:v>
                </c:pt>
                <c:pt idx="1">
                  <c:v>HR</c:v>
                </c:pt>
                <c:pt idx="2">
                  <c:v>HU</c:v>
                </c:pt>
                <c:pt idx="3">
                  <c:v>RS</c:v>
                </c:pt>
                <c:pt idx="4">
                  <c:v>BA</c:v>
                </c:pt>
                <c:pt idx="5">
                  <c:v>ME</c:v>
                </c:pt>
                <c:pt idx="6">
                  <c:v>SI</c:v>
                </c:pt>
                <c:pt idx="7">
                  <c:v>AT</c:v>
                </c:pt>
                <c:pt idx="8">
                  <c:v>DE</c:v>
                </c:pt>
                <c:pt idx="9">
                  <c:v>UA</c:v>
                </c:pt>
                <c:pt idx="10">
                  <c:v>BG</c:v>
                </c:pt>
                <c:pt idx="11">
                  <c:v>SK</c:v>
                </c:pt>
                <c:pt idx="12">
                  <c:v>RO</c:v>
                </c:pt>
                <c:pt idx="13">
                  <c:v>MD</c:v>
                </c:pt>
              </c:strCache>
            </c:strRef>
          </c:cat>
          <c:val>
            <c:numRef>
              <c:f>'2.'!$D$2:$D$15</c:f>
              <c:numCache>
                <c:formatCode>_-\ #\ ##0.00_-;\-* #\ ##0.00_-;_-* "-"??_-;_-@_-</c:formatCode>
                <c:ptCount val="14"/>
                <c:pt idx="0">
                  <c:v>15.826024013922144</c:v>
                </c:pt>
                <c:pt idx="1">
                  <c:v>18.779126572629188</c:v>
                </c:pt>
                <c:pt idx="2">
                  <c:v>11.216149281783009</c:v>
                </c:pt>
                <c:pt idx="3">
                  <c:v>10.669444197280978</c:v>
                </c:pt>
                <c:pt idx="4">
                  <c:v>17.415808309075157</c:v>
                </c:pt>
                <c:pt idx="5">
                  <c:v>10.775823641645617</c:v>
                </c:pt>
                <c:pt idx="6">
                  <c:v>4.626560574811891</c:v>
                </c:pt>
                <c:pt idx="7">
                  <c:v>3.5857764149027846</c:v>
                </c:pt>
                <c:pt idx="8">
                  <c:v>3.1349336789854942</c:v>
                </c:pt>
                <c:pt idx="9">
                  <c:v>10.252331566302262</c:v>
                </c:pt>
                <c:pt idx="10">
                  <c:v>5.5093274310195364</c:v>
                </c:pt>
                <c:pt idx="11">
                  <c:v>3.7156069091509378</c:v>
                </c:pt>
                <c:pt idx="12">
                  <c:v>3.9637700920158641</c:v>
                </c:pt>
                <c:pt idx="13">
                  <c:v>0.9525314866593837</c:v>
                </c:pt>
              </c:numCache>
            </c:numRef>
          </c:val>
          <c:smooth val="0"/>
          <c:extLst>
            <c:ext xmlns:c16="http://schemas.microsoft.com/office/drawing/2014/chart" uri="{C3380CC4-5D6E-409C-BE32-E72D297353CC}">
              <c16:uniqueId val="{00000001-D504-4A9B-A788-EF319EADCD95}"/>
            </c:ext>
          </c:extLst>
        </c:ser>
        <c:dLbls>
          <c:showLegendKey val="0"/>
          <c:showVal val="0"/>
          <c:showCatName val="0"/>
          <c:showSerName val="0"/>
          <c:showPercent val="0"/>
          <c:showBubbleSize val="0"/>
        </c:dLbls>
        <c:marker val="1"/>
        <c:smooth val="0"/>
        <c:axId val="95145888"/>
        <c:axId val="95148288"/>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valAx>
        <c:axId val="95148288"/>
        <c:scaling>
          <c:orientation val="minMax"/>
        </c:scaling>
        <c:delete val="0"/>
        <c:axPos val="r"/>
        <c:numFmt formatCode="_-\ #\ ##0.00_-;\-* #\ ##0.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5145888"/>
        <c:crosses val="max"/>
        <c:crossBetween val="between"/>
      </c:valAx>
      <c:catAx>
        <c:axId val="95145888"/>
        <c:scaling>
          <c:orientation val="minMax"/>
        </c:scaling>
        <c:delete val="1"/>
        <c:axPos val="b"/>
        <c:numFmt formatCode="General" sourceLinked="1"/>
        <c:majorTickMark val="out"/>
        <c:minorTickMark val="none"/>
        <c:tickLblPos val="nextTo"/>
        <c:crossAx val="95148288"/>
        <c:crosses val="autoZero"/>
        <c:auto val="1"/>
        <c:lblAlgn val="ctr"/>
        <c:lblOffset val="100"/>
        <c:noMultiLvlLbl val="0"/>
      </c:catAx>
      <c:spPr>
        <a:noFill/>
        <a:ln>
          <a:noFill/>
        </a:ln>
        <a:effectLst/>
      </c:spPr>
    </c:plotArea>
    <c:legend>
      <c:legendPos val="b"/>
      <c:layout>
        <c:manualLayout>
          <c:xMode val="edge"/>
          <c:yMode val="edge"/>
          <c:x val="0.43214408543759614"/>
          <c:y val="5.7859655578677727E-2"/>
          <c:w val="0.2887734519296199"/>
          <c:h val="5.212054438891497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'18.'!$C$1</c:f>
              <c:strCache>
                <c:ptCount val="1"/>
                <c:pt idx="0">
                  <c:v>Success Rate Proposals</c:v>
                </c:pt>
              </c:strCache>
            </c:strRef>
          </c:tx>
          <c:spPr>
            <a:solidFill>
              <a:schemeClr val="accent1"/>
            </a:solidFill>
            <a:ln>
              <a:noFill/>
            </a:ln>
            <a:effectLst/>
          </c:spPr>
          <c:invertIfNegative val="0"/>
          <c:cat>
            <c:strRef>
              <c:f>'18.'!$B$2:$B$15</c:f>
              <c:strCache>
                <c:ptCount val="14"/>
                <c:pt idx="0">
                  <c:v>MD</c:v>
                </c:pt>
                <c:pt idx="1">
                  <c:v>SK</c:v>
                </c:pt>
                <c:pt idx="2">
                  <c:v>HU</c:v>
                </c:pt>
                <c:pt idx="3">
                  <c:v>SI</c:v>
                </c:pt>
                <c:pt idx="4">
                  <c:v>DE</c:v>
                </c:pt>
                <c:pt idx="5">
                  <c:v>AT</c:v>
                </c:pt>
                <c:pt idx="6">
                  <c:v>CZ</c:v>
                </c:pt>
                <c:pt idx="7">
                  <c:v>BG</c:v>
                </c:pt>
                <c:pt idx="8">
                  <c:v>HR</c:v>
                </c:pt>
                <c:pt idx="9">
                  <c:v>RS</c:v>
                </c:pt>
                <c:pt idx="10">
                  <c:v>RO</c:v>
                </c:pt>
                <c:pt idx="11">
                  <c:v>UA</c:v>
                </c:pt>
                <c:pt idx="12">
                  <c:v>ME</c:v>
                </c:pt>
                <c:pt idx="13">
                  <c:v>BA</c:v>
                </c:pt>
              </c:strCache>
            </c:strRef>
          </c:cat>
          <c:val>
            <c:numRef>
              <c:f>'18.'!$C$2:$C$15</c:f>
              <c:numCache>
                <c:formatCode>0.00%</c:formatCode>
                <c:ptCount val="14"/>
                <c:pt idx="0">
                  <c:v>0.20578778135048231</c:v>
                </c:pt>
                <c:pt idx="1">
                  <c:v>0.20108368452739314</c:v>
                </c:pt>
                <c:pt idx="2">
                  <c:v>0.19860511457987379</c:v>
                </c:pt>
                <c:pt idx="3">
                  <c:v>0.19518137520303194</c:v>
                </c:pt>
                <c:pt idx="4">
                  <c:v>0.18971981730179291</c:v>
                </c:pt>
                <c:pt idx="5">
                  <c:v>0.18964633521271143</c:v>
                </c:pt>
                <c:pt idx="6">
                  <c:v>0.18181818181818182</c:v>
                </c:pt>
                <c:pt idx="7">
                  <c:v>0.17656834233485666</c:v>
                </c:pt>
                <c:pt idx="8">
                  <c:v>0.17124631992149167</c:v>
                </c:pt>
                <c:pt idx="9">
                  <c:v>0.17034068136272545</c:v>
                </c:pt>
                <c:pt idx="10">
                  <c:v>0.15784753363228698</c:v>
                </c:pt>
                <c:pt idx="11">
                  <c:v>0.14423076923076922</c:v>
                </c:pt>
                <c:pt idx="12">
                  <c:v>0.143646408839779</c:v>
                </c:pt>
                <c:pt idx="13">
                  <c:v>0.1358695652173913</c:v>
                </c:pt>
              </c:numCache>
            </c:numRef>
          </c:val>
          <c:extLst>
            <c:ext xmlns:c16="http://schemas.microsoft.com/office/drawing/2014/chart" uri="{C3380CC4-5D6E-409C-BE32-E72D297353CC}">
              <c16:uniqueId val="{00000000-9FF7-4EF5-BF55-4EAD559CF9CD}"/>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'18.'!$D$1</c:f>
              <c:strCache>
                <c:ptCount val="1"/>
                <c:pt idx="0">
                  <c:v>Oversubscription Rate</c:v>
                </c:pt>
              </c:strCache>
            </c:strRef>
          </c:tx>
          <c:spPr>
            <a:ln w="25400" cap="rnd">
              <a:noFill/>
              <a:round/>
            </a:ln>
            <a:effectLst/>
          </c:spPr>
          <c:marker>
            <c:symbol val="triangle"/>
            <c:size val="7"/>
            <c:spPr>
              <a:solidFill>
                <a:srgbClr val="FFFF00"/>
              </a:solidFill>
              <a:ln w="9525">
                <a:solidFill>
                  <a:srgbClr val="FFFF00"/>
                </a:solidFill>
              </a:ln>
              <a:effectLst/>
            </c:spPr>
          </c:marker>
          <c:cat>
            <c:strRef>
              <c:f>'18.'!$B$2:$B$15</c:f>
              <c:strCache>
                <c:ptCount val="14"/>
                <c:pt idx="0">
                  <c:v>MD</c:v>
                </c:pt>
                <c:pt idx="1">
                  <c:v>SK</c:v>
                </c:pt>
                <c:pt idx="2">
                  <c:v>HU</c:v>
                </c:pt>
                <c:pt idx="3">
                  <c:v>SI</c:v>
                </c:pt>
                <c:pt idx="4">
                  <c:v>DE</c:v>
                </c:pt>
                <c:pt idx="5">
                  <c:v>AT</c:v>
                </c:pt>
                <c:pt idx="6">
                  <c:v>CZ</c:v>
                </c:pt>
                <c:pt idx="7">
                  <c:v>BG</c:v>
                </c:pt>
                <c:pt idx="8">
                  <c:v>HR</c:v>
                </c:pt>
                <c:pt idx="9">
                  <c:v>RS</c:v>
                </c:pt>
                <c:pt idx="10">
                  <c:v>RO</c:v>
                </c:pt>
                <c:pt idx="11">
                  <c:v>UA</c:v>
                </c:pt>
                <c:pt idx="12">
                  <c:v>ME</c:v>
                </c:pt>
                <c:pt idx="13">
                  <c:v>BA</c:v>
                </c:pt>
              </c:strCache>
            </c:strRef>
          </c:cat>
          <c:val>
            <c:numRef>
              <c:f>'18.'!$D$2:$D$15</c:f>
              <c:numCache>
                <c:formatCode>#0%</c:formatCode>
                <c:ptCount val="14"/>
                <c:pt idx="0">
                  <c:v>0.66091954022988508</c:v>
                </c:pt>
                <c:pt idx="1">
                  <c:v>0.67597208374875373</c:v>
                </c:pt>
                <c:pt idx="2">
                  <c:v>0.70084566596194509</c:v>
                </c:pt>
                <c:pt idx="3">
                  <c:v>0.70588235294117652</c:v>
                </c:pt>
                <c:pt idx="4">
                  <c:v>0.70560456668396476</c:v>
                </c:pt>
                <c:pt idx="5">
                  <c:v>0.71565787467601771</c:v>
                </c:pt>
                <c:pt idx="6">
                  <c:v>0.72123893805309736</c:v>
                </c:pt>
                <c:pt idx="7">
                  <c:v>0.70491803278688525</c:v>
                </c:pt>
                <c:pt idx="8">
                  <c:v>0.72859450726979003</c:v>
                </c:pt>
                <c:pt idx="9">
                  <c:v>0.7334384858044164</c:v>
                </c:pt>
                <c:pt idx="10">
                  <c:v>0.72987616099071206</c:v>
                </c:pt>
                <c:pt idx="11">
                  <c:v>0.73167539267015702</c:v>
                </c:pt>
                <c:pt idx="12">
                  <c:v>0.70652173913043481</c:v>
                </c:pt>
                <c:pt idx="13">
                  <c:v>0.75757575757575757</c:v>
                </c:pt>
              </c:numCache>
            </c:numRef>
          </c:val>
          <c:smooth val="0"/>
          <c:extLst>
            <c:ext xmlns:c16="http://schemas.microsoft.com/office/drawing/2014/chart" uri="{C3380CC4-5D6E-409C-BE32-E72D297353CC}">
              <c16:uniqueId val="{00000001-9FF7-4EF5-BF55-4EAD559CF9CD}"/>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21825209004332016"/>
          <c:y val="0.22544513799060678"/>
          <c:w val="0.65203066265007947"/>
          <c:h val="0.1628811778902499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7261777708250043"/>
        </c:manualLayout>
      </c:layout>
      <c:barChart>
        <c:barDir val="col"/>
        <c:grouping val="clustered"/>
        <c:varyColors val="0"/>
        <c:ser>
          <c:idx val="0"/>
          <c:order val="0"/>
          <c:tx>
            <c:strRef>
              <c:f>'19.'!$B$1</c:f>
              <c:strCache>
                <c:ptCount val="1"/>
                <c:pt idx="0">
                  <c:v>Average EU Contribution per participation</c:v>
                </c:pt>
              </c:strCache>
            </c:strRef>
          </c:tx>
          <c:spPr>
            <a:solidFill>
              <a:schemeClr val="accent1"/>
            </a:solidFill>
            <a:ln>
              <a:noFill/>
            </a:ln>
            <a:effectLst/>
          </c:spPr>
          <c:invertIfNegative val="0"/>
          <c:cat>
            <c:strRef>
              <c:f>'19.'!$A$2:$A$15</c:f>
              <c:strCache>
                <c:ptCount val="14"/>
                <c:pt idx="0">
                  <c:v>DE</c:v>
                </c:pt>
                <c:pt idx="1">
                  <c:v>AT</c:v>
                </c:pt>
                <c:pt idx="2">
                  <c:v>CZ</c:v>
                </c:pt>
                <c:pt idx="3">
                  <c:v>SI</c:v>
                </c:pt>
                <c:pt idx="4">
                  <c:v>SK</c:v>
                </c:pt>
                <c:pt idx="5">
                  <c:v>BG</c:v>
                </c:pt>
                <c:pt idx="6">
                  <c:v>RO</c:v>
                </c:pt>
                <c:pt idx="7">
                  <c:v>RS</c:v>
                </c:pt>
                <c:pt idx="8">
                  <c:v>HU</c:v>
                </c:pt>
                <c:pt idx="9">
                  <c:v>HR</c:v>
                </c:pt>
                <c:pt idx="10">
                  <c:v>UA</c:v>
                </c:pt>
                <c:pt idx="11">
                  <c:v>BA</c:v>
                </c:pt>
                <c:pt idx="12">
                  <c:v>ME</c:v>
                </c:pt>
                <c:pt idx="13">
                  <c:v>MD</c:v>
                </c:pt>
              </c:strCache>
            </c:strRef>
          </c:cat>
          <c:val>
            <c:numRef>
              <c:f>'19.'!$B$2:$B$15</c:f>
              <c:numCache>
                <c:formatCode>#,##0.00</c:formatCode>
                <c:ptCount val="14"/>
                <c:pt idx="0">
                  <c:v>631076.28635349625</c:v>
                </c:pt>
                <c:pt idx="1">
                  <c:v>476311.38675639406</c:v>
                </c:pt>
                <c:pt idx="2">
                  <c:v>362027.5866130158</c:v>
                </c:pt>
                <c:pt idx="3">
                  <c:v>325142.47902591585</c:v>
                </c:pt>
                <c:pt idx="4">
                  <c:v>283588.63477477472</c:v>
                </c:pt>
                <c:pt idx="5">
                  <c:v>263689.28835483873</c:v>
                </c:pt>
                <c:pt idx="6">
                  <c:v>261295.30168784023</c:v>
                </c:pt>
                <c:pt idx="7">
                  <c:v>257436.80442105263</c:v>
                </c:pt>
                <c:pt idx="8">
                  <c:v>246502.00383647793</c:v>
                </c:pt>
                <c:pt idx="9">
                  <c:v>243444.40699819167</c:v>
                </c:pt>
                <c:pt idx="10">
                  <c:v>204340.68502958582</c:v>
                </c:pt>
                <c:pt idx="11">
                  <c:v>166448.57690909092</c:v>
                </c:pt>
                <c:pt idx="12">
                  <c:v>139099.73374999998</c:v>
                </c:pt>
                <c:pt idx="13">
                  <c:v>98200.491060606058</c:v>
                </c:pt>
              </c:numCache>
            </c:numRef>
          </c:val>
          <c:extLst>
            <c:ext xmlns:c16="http://schemas.microsoft.com/office/drawing/2014/chart" uri="{C3380CC4-5D6E-409C-BE32-E72D297353CC}">
              <c16:uniqueId val="{00000000-4249-4B6E-A885-6ED0AC0DA16A}"/>
            </c:ext>
          </c:extLst>
        </c:ser>
        <c:dLbls>
          <c:showLegendKey val="0"/>
          <c:showVal val="0"/>
          <c:showCatName val="0"/>
          <c:showSerName val="0"/>
          <c:showPercent val="0"/>
          <c:showBubbleSize val="0"/>
        </c:dLbls>
        <c:gapWidth val="219"/>
        <c:overlap val="-27"/>
        <c:axId val="1247853520"/>
        <c:axId val="1247851120"/>
      </c:bar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27337888166404772"/>
          <c:y val="6.2269834793252841E-2"/>
          <c:w val="0.53836147548811086"/>
          <c:h val="5.212054438891497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'19.'!$B$2</c:f>
              <c:strCache>
                <c:ptCount val="1"/>
                <c:pt idx="0">
                  <c:v>2024</c:v>
                </c:pt>
              </c:strCache>
            </c:strRef>
          </c:tx>
          <c:spPr>
            <a:solidFill>
              <a:schemeClr val="tx2">
                <a:lumMod val="25000"/>
                <a:lumOff val="75000"/>
              </a:schemeClr>
            </a:solidFill>
            <a:ln w="25400">
              <a:solidFill>
                <a:schemeClr val="tx2">
                  <a:lumMod val="25000"/>
                  <a:lumOff val="75000"/>
                </a:schemeClr>
              </a:solidFill>
            </a:ln>
            <a:effectLst/>
          </c:spPr>
          <c:invertIfNegative val="0"/>
          <c:dPt>
            <c:idx val="1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1-658F-4F28-8721-76994671B3ED}"/>
              </c:ext>
            </c:extLst>
          </c:dPt>
          <c:dPt>
            <c:idx val="1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3-658F-4F28-8721-76994671B3ED}"/>
              </c:ext>
            </c:extLst>
          </c:dPt>
          <c:dPt>
            <c:idx val="2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5-658F-4F28-8721-76994671B3ED}"/>
              </c:ext>
            </c:extLst>
          </c:dPt>
          <c:dPt>
            <c:idx val="2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7-658F-4F28-8721-76994671B3ED}"/>
              </c:ext>
            </c:extLst>
          </c:dPt>
          <c:dPt>
            <c:idx val="2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9-658F-4F28-8721-76994671B3ED}"/>
              </c:ext>
            </c:extLst>
          </c:dPt>
          <c:dPt>
            <c:idx val="2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B-658F-4F28-8721-76994671B3ED}"/>
              </c:ext>
            </c:extLst>
          </c:dPt>
          <c:dPt>
            <c:idx val="2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D-658F-4F28-8721-76994671B3ED}"/>
              </c:ext>
            </c:extLst>
          </c:dPt>
          <c:dPt>
            <c:idx val="3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F-658F-4F28-8721-76994671B3ED}"/>
              </c:ext>
            </c:extLst>
          </c:dPt>
          <c:dPt>
            <c:idx val="3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1-658F-4F28-8721-76994671B3ED}"/>
              </c:ext>
            </c:extLst>
          </c:dPt>
          <c:dPt>
            <c:idx val="3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3-658F-4F28-8721-76994671B3ED}"/>
              </c:ext>
            </c:extLst>
          </c:dPt>
          <c:dPt>
            <c:idx val="3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5-658F-4F28-8721-76994671B3ED}"/>
              </c:ext>
            </c:extLst>
          </c:dPt>
          <c:dPt>
            <c:idx val="3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7-658F-4F28-8721-76994671B3ED}"/>
              </c:ext>
            </c:extLst>
          </c:dPt>
          <c:dPt>
            <c:idx val="3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9-658F-4F28-8721-76994671B3ED}"/>
              </c:ext>
            </c:extLst>
          </c:dPt>
          <c:dPt>
            <c:idx val="3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B-658F-4F28-8721-76994671B3ED}"/>
              </c:ext>
            </c:extLst>
          </c:dPt>
          <c:cat>
            <c:strRef>
              <c:f>'19.'!$A$3:$A$42</c:f>
              <c:strCache>
                <c:ptCount val="40"/>
                <c:pt idx="0">
                  <c:v>NL</c:v>
                </c:pt>
                <c:pt idx="1">
                  <c:v>UK</c:v>
                </c:pt>
                <c:pt idx="2">
                  <c:v>CH</c:v>
                </c:pt>
                <c:pt idx="3">
                  <c:v>DK</c:v>
                </c:pt>
                <c:pt idx="4">
                  <c:v>SE</c:v>
                </c:pt>
                <c:pt idx="5">
                  <c:v>FI</c:v>
                </c:pt>
                <c:pt idx="6">
                  <c:v>IT</c:v>
                </c:pt>
                <c:pt idx="7">
                  <c:v>BE</c:v>
                </c:pt>
                <c:pt idx="8">
                  <c:v>CY</c:v>
                </c:pt>
                <c:pt idx="9">
                  <c:v>NO</c:v>
                </c:pt>
                <c:pt idx="10">
                  <c:v>IE</c:v>
                </c:pt>
                <c:pt idx="11">
                  <c:v>LU</c:v>
                </c:pt>
                <c:pt idx="12">
                  <c:v>AT</c:v>
                </c:pt>
                <c:pt idx="13">
                  <c:v>EE</c:v>
                </c:pt>
                <c:pt idx="14">
                  <c:v>DE</c:v>
                </c:pt>
                <c:pt idx="15">
                  <c:v>EU27</c:v>
                </c:pt>
                <c:pt idx="16">
                  <c:v>IS</c:v>
                </c:pt>
                <c:pt idx="17">
                  <c:v>EL</c:v>
                </c:pt>
                <c:pt idx="18">
                  <c:v>ES</c:v>
                </c:pt>
                <c:pt idx="19">
                  <c:v>FR</c:v>
                </c:pt>
                <c:pt idx="20">
                  <c:v>PT</c:v>
                </c:pt>
                <c:pt idx="21">
                  <c:v>MT</c:v>
                </c:pt>
                <c:pt idx="22">
                  <c:v>SI</c:v>
                </c:pt>
                <c:pt idx="23">
                  <c:v>TR</c:v>
                </c:pt>
                <c:pt idx="24">
                  <c:v>LT</c:v>
                </c:pt>
                <c:pt idx="25">
                  <c:v>RO</c:v>
                </c:pt>
                <c:pt idx="26">
                  <c:v>HU</c:v>
                </c:pt>
                <c:pt idx="27">
                  <c:v>PL</c:v>
                </c:pt>
                <c:pt idx="28">
                  <c:v>RS</c:v>
                </c:pt>
                <c:pt idx="29">
                  <c:v>CZ</c:v>
                </c:pt>
                <c:pt idx="30">
                  <c:v>ME</c:v>
                </c:pt>
                <c:pt idx="31">
                  <c:v>MK</c:v>
                </c:pt>
                <c:pt idx="32">
                  <c:v>HR</c:v>
                </c:pt>
                <c:pt idx="33">
                  <c:v>LV</c:v>
                </c:pt>
                <c:pt idx="34">
                  <c:v>SK</c:v>
                </c:pt>
                <c:pt idx="35">
                  <c:v>AL</c:v>
                </c:pt>
                <c:pt idx="36">
                  <c:v>BG</c:v>
                </c:pt>
                <c:pt idx="37">
                  <c:v>BA</c:v>
                </c:pt>
                <c:pt idx="38">
                  <c:v>UA</c:v>
                </c:pt>
                <c:pt idx="39">
                  <c:v>MD</c:v>
                </c:pt>
              </c:strCache>
            </c:strRef>
          </c:cat>
          <c:val>
            <c:numRef>
              <c:f>'19.'!$B$3:$B$42</c:f>
              <c:numCache>
                <c:formatCode>_-\ #\ ##0.00_-;\-* #\ ##0.00_-;_-* "-"??_-;_-@_-</c:formatCode>
                <c:ptCount val="40"/>
                <c:pt idx="0">
                  <c:v>14.388560334107501</c:v>
                </c:pt>
                <c:pt idx="1">
                  <c:v>13.835792321240399</c:v>
                </c:pt>
                <c:pt idx="2">
                  <c:v>13.775564341230099</c:v>
                </c:pt>
                <c:pt idx="3">
                  <c:v>12.5928567318911</c:v>
                </c:pt>
                <c:pt idx="4">
                  <c:v>12.0582875122627</c:v>
                </c:pt>
                <c:pt idx="5">
                  <c:v>12.0301669929142</c:v>
                </c:pt>
                <c:pt idx="6">
                  <c:v>11.7882392155477</c:v>
                </c:pt>
                <c:pt idx="7">
                  <c:v>11.691734825465399</c:v>
                </c:pt>
                <c:pt idx="8">
                  <c:v>11.4287703259336</c:v>
                </c:pt>
                <c:pt idx="9">
                  <c:v>11.400083203928901</c:v>
                </c:pt>
                <c:pt idx="10">
                  <c:v>11.340517566365101</c:v>
                </c:pt>
                <c:pt idx="11">
                  <c:v>11.1033867228675</c:v>
                </c:pt>
                <c:pt idx="12">
                  <c:v>10.495760607267099</c:v>
                </c:pt>
                <c:pt idx="13">
                  <c:v>10.4672150165527</c:v>
                </c:pt>
                <c:pt idx="14">
                  <c:v>10.378226002081499</c:v>
                </c:pt>
                <c:pt idx="15">
                  <c:v>9.7818906358206092</c:v>
                </c:pt>
                <c:pt idx="16">
                  <c:v>9.7633688572728499</c:v>
                </c:pt>
                <c:pt idx="17">
                  <c:v>9.0977813386743804</c:v>
                </c:pt>
                <c:pt idx="18">
                  <c:v>8.9203329716423294</c:v>
                </c:pt>
                <c:pt idx="19">
                  <c:v>8.7673692954911306</c:v>
                </c:pt>
                <c:pt idx="20">
                  <c:v>8.3105206640524791</c:v>
                </c:pt>
                <c:pt idx="21">
                  <c:v>8.1568252416188898</c:v>
                </c:pt>
                <c:pt idx="22">
                  <c:v>7.7884774681698703</c:v>
                </c:pt>
                <c:pt idx="23">
                  <c:v>7.7638702381416396</c:v>
                </c:pt>
                <c:pt idx="24">
                  <c:v>6.63806453555339</c:v>
                </c:pt>
                <c:pt idx="25">
                  <c:v>6.3717507696559403</c:v>
                </c:pt>
                <c:pt idx="26">
                  <c:v>5.8506015982118296</c:v>
                </c:pt>
                <c:pt idx="27">
                  <c:v>5.6919571020274802</c:v>
                </c:pt>
                <c:pt idx="28">
                  <c:v>5.6128149832764196</c:v>
                </c:pt>
                <c:pt idx="29">
                  <c:v>5.5393156086788498</c:v>
                </c:pt>
                <c:pt idx="30">
                  <c:v>5.3229830931837796</c:v>
                </c:pt>
                <c:pt idx="31">
                  <c:v>5.0787824206363101</c:v>
                </c:pt>
                <c:pt idx="32">
                  <c:v>4.8444228712025303</c:v>
                </c:pt>
                <c:pt idx="33">
                  <c:v>4.6244834821132601</c:v>
                </c:pt>
                <c:pt idx="34">
                  <c:v>4.5951070755049699</c:v>
                </c:pt>
                <c:pt idx="35">
                  <c:v>4.5893975521370303</c:v>
                </c:pt>
                <c:pt idx="36">
                  <c:v>3.38742234087026</c:v>
                </c:pt>
                <c:pt idx="37">
                  <c:v>3.0944193904978001</c:v>
                </c:pt>
                <c:pt idx="38">
                  <c:v>2.8377753931949301</c:v>
                </c:pt>
                <c:pt idx="39">
                  <c:v>2.3102518992044998</c:v>
                </c:pt>
              </c:numCache>
            </c:numRef>
          </c:val>
          <c:extLst>
            <c:ext xmlns:c16="http://schemas.microsoft.com/office/drawing/2014/chart" uri="{C3380CC4-5D6E-409C-BE32-E72D297353CC}">
              <c16:uniqueId val="{0000001C-658F-4F28-8721-76994671B3ED}"/>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'19.'!$C$2</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'19.'!$A$3:$A$42</c:f>
              <c:strCache>
                <c:ptCount val="40"/>
                <c:pt idx="0">
                  <c:v>NL</c:v>
                </c:pt>
                <c:pt idx="1">
                  <c:v>UK</c:v>
                </c:pt>
                <c:pt idx="2">
                  <c:v>CH</c:v>
                </c:pt>
                <c:pt idx="3">
                  <c:v>DK</c:v>
                </c:pt>
                <c:pt idx="4">
                  <c:v>SE</c:v>
                </c:pt>
                <c:pt idx="5">
                  <c:v>FI</c:v>
                </c:pt>
                <c:pt idx="6">
                  <c:v>IT</c:v>
                </c:pt>
                <c:pt idx="7">
                  <c:v>BE</c:v>
                </c:pt>
                <c:pt idx="8">
                  <c:v>CY</c:v>
                </c:pt>
                <c:pt idx="9">
                  <c:v>NO</c:v>
                </c:pt>
                <c:pt idx="10">
                  <c:v>IE</c:v>
                </c:pt>
                <c:pt idx="11">
                  <c:v>LU</c:v>
                </c:pt>
                <c:pt idx="12">
                  <c:v>AT</c:v>
                </c:pt>
                <c:pt idx="13">
                  <c:v>EE</c:v>
                </c:pt>
                <c:pt idx="14">
                  <c:v>DE</c:v>
                </c:pt>
                <c:pt idx="15">
                  <c:v>EU27</c:v>
                </c:pt>
                <c:pt idx="16">
                  <c:v>IS</c:v>
                </c:pt>
                <c:pt idx="17">
                  <c:v>EL</c:v>
                </c:pt>
                <c:pt idx="18">
                  <c:v>ES</c:v>
                </c:pt>
                <c:pt idx="19">
                  <c:v>FR</c:v>
                </c:pt>
                <c:pt idx="20">
                  <c:v>PT</c:v>
                </c:pt>
                <c:pt idx="21">
                  <c:v>MT</c:v>
                </c:pt>
                <c:pt idx="22">
                  <c:v>SI</c:v>
                </c:pt>
                <c:pt idx="23">
                  <c:v>TR</c:v>
                </c:pt>
                <c:pt idx="24">
                  <c:v>LT</c:v>
                </c:pt>
                <c:pt idx="25">
                  <c:v>RO</c:v>
                </c:pt>
                <c:pt idx="26">
                  <c:v>HU</c:v>
                </c:pt>
                <c:pt idx="27">
                  <c:v>PL</c:v>
                </c:pt>
                <c:pt idx="28">
                  <c:v>RS</c:v>
                </c:pt>
                <c:pt idx="29">
                  <c:v>CZ</c:v>
                </c:pt>
                <c:pt idx="30">
                  <c:v>ME</c:v>
                </c:pt>
                <c:pt idx="31">
                  <c:v>MK</c:v>
                </c:pt>
                <c:pt idx="32">
                  <c:v>HR</c:v>
                </c:pt>
                <c:pt idx="33">
                  <c:v>LV</c:v>
                </c:pt>
                <c:pt idx="34">
                  <c:v>SK</c:v>
                </c:pt>
                <c:pt idx="35">
                  <c:v>AL</c:v>
                </c:pt>
                <c:pt idx="36">
                  <c:v>BG</c:v>
                </c:pt>
                <c:pt idx="37">
                  <c:v>BA</c:v>
                </c:pt>
                <c:pt idx="38">
                  <c:v>UA</c:v>
                </c:pt>
                <c:pt idx="39">
                  <c:v>MD</c:v>
                </c:pt>
              </c:strCache>
            </c:strRef>
          </c:cat>
          <c:val>
            <c:numRef>
              <c:f>'19.'!$C$3:$C$42</c:f>
              <c:numCache>
                <c:formatCode>_-\ #\ ##0.00_-;\-* #\ ##0.00_-;_-* "-"??_-;_-@_-</c:formatCode>
                <c:ptCount val="40"/>
                <c:pt idx="0">
                  <c:v>15.3202509132072</c:v>
                </c:pt>
                <c:pt idx="1">
                  <c:v>13.90057548964</c:v>
                </c:pt>
                <c:pt idx="2">
                  <c:v>14.7005370110427</c:v>
                </c:pt>
                <c:pt idx="3">
                  <c:v>14.5216206614742</c:v>
                </c:pt>
                <c:pt idx="4">
                  <c:v>13.1918498205013</c:v>
                </c:pt>
                <c:pt idx="5">
                  <c:v>11.6610873750571</c:v>
                </c:pt>
                <c:pt idx="6">
                  <c:v>10.650217070079201</c:v>
                </c:pt>
                <c:pt idx="7">
                  <c:v>13.198869915635299</c:v>
                </c:pt>
                <c:pt idx="8">
                  <c:v>10.607985187524701</c:v>
                </c:pt>
                <c:pt idx="9">
                  <c:v>12.0198660200529</c:v>
                </c:pt>
                <c:pt idx="10">
                  <c:v>11.639568735315001</c:v>
                </c:pt>
                <c:pt idx="11">
                  <c:v>11.4781499871712</c:v>
                </c:pt>
                <c:pt idx="12">
                  <c:v>11.5137372424436</c:v>
                </c:pt>
                <c:pt idx="13">
                  <c:v>7.9155386903138298</c:v>
                </c:pt>
                <c:pt idx="14">
                  <c:v>11.3021490455181</c:v>
                </c:pt>
                <c:pt idx="15">
                  <c:v>10.125293349823099</c:v>
                </c:pt>
                <c:pt idx="16">
                  <c:v>9.2967139544573101</c:v>
                </c:pt>
                <c:pt idx="17">
                  <c:v>8.6269891706715498</c:v>
                </c:pt>
                <c:pt idx="18">
                  <c:v>9.3753563277418106</c:v>
                </c:pt>
                <c:pt idx="19">
                  <c:v>9.7863664971673998</c:v>
                </c:pt>
                <c:pt idx="20">
                  <c:v>9.9768236360262303</c:v>
                </c:pt>
                <c:pt idx="21">
                  <c:v>7.1605251989837004</c:v>
                </c:pt>
                <c:pt idx="22">
                  <c:v>6.8960155296371202</c:v>
                </c:pt>
                <c:pt idx="23">
                  <c:v>5.1824789440560703</c:v>
                </c:pt>
                <c:pt idx="24">
                  <c:v>3.6339589928858498</c:v>
                </c:pt>
                <c:pt idx="25">
                  <c:v>3.4042120549724002</c:v>
                </c:pt>
                <c:pt idx="26">
                  <c:v>4.6178789683867798</c:v>
                </c:pt>
                <c:pt idx="27">
                  <c:v>4.0045021463807604</c:v>
                </c:pt>
                <c:pt idx="28">
                  <c:v>5.0487246548217897</c:v>
                </c:pt>
                <c:pt idx="29">
                  <c:v>5.04441274166446</c:v>
                </c:pt>
                <c:pt idx="30">
                  <c:v>5.6690536083203602</c:v>
                </c:pt>
                <c:pt idx="31">
                  <c:v>1.91578911827524</c:v>
                </c:pt>
                <c:pt idx="32">
                  <c:v>2.9641849605099901</c:v>
                </c:pt>
                <c:pt idx="33">
                  <c:v>3.3400394554247601</c:v>
                </c:pt>
                <c:pt idx="34">
                  <c:v>3.4964438033818102</c:v>
                </c:pt>
                <c:pt idx="35">
                  <c:v>1.33669267395194</c:v>
                </c:pt>
                <c:pt idx="36">
                  <c:v>2.8868677971179499</c:v>
                </c:pt>
                <c:pt idx="37">
                  <c:v>3.0044759577667901</c:v>
                </c:pt>
                <c:pt idx="38">
                  <c:v>1.5730417243008401</c:v>
                </c:pt>
                <c:pt idx="39">
                  <c:v>2.6222695219398799</c:v>
                </c:pt>
              </c:numCache>
            </c:numRef>
          </c:val>
          <c:smooth val="0"/>
          <c:extLst>
            <c:ext xmlns:c16="http://schemas.microsoft.com/office/drawing/2014/chart" uri="{C3380CC4-5D6E-409C-BE32-E72D297353CC}">
              <c16:uniqueId val="{0000001D-658F-4F28-8721-76994671B3ED}"/>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2424675967323268"/>
          <c:h val="5.70377058917378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74445181269761E-2"/>
          <c:y val="3.1350192421062933E-2"/>
          <c:w val="0.86295452643235626"/>
          <c:h val="0.83756785341843887"/>
        </c:manualLayout>
      </c:layout>
      <c:barChart>
        <c:barDir val="col"/>
        <c:grouping val="clustered"/>
        <c:varyColors val="0"/>
        <c:ser>
          <c:idx val="0"/>
          <c:order val="0"/>
          <c:tx>
            <c:strRef>
              <c:f>'21.'!$H$40</c:f>
              <c:strCache>
                <c:ptCount val="1"/>
                <c:pt idx="0">
                  <c:v>2024</c:v>
                </c:pt>
              </c:strCache>
            </c:strRef>
          </c:tx>
          <c:spPr>
            <a:solidFill>
              <a:schemeClr val="accent1"/>
            </a:solidFill>
            <a:ln>
              <a:solidFill>
                <a:schemeClr val="accent1"/>
              </a:solidFill>
            </a:ln>
            <a:effectLst/>
          </c:spPr>
          <c:invertIfNegative val="0"/>
          <c:cat>
            <c:strRef>
              <c:f>'21.'!$G$41:$G$54</c:f>
              <c:strCache>
                <c:ptCount val="14"/>
                <c:pt idx="0">
                  <c:v>ME</c:v>
                </c:pt>
                <c:pt idx="1">
                  <c:v>BA</c:v>
                </c:pt>
                <c:pt idx="2">
                  <c:v>BG</c:v>
                </c:pt>
                <c:pt idx="3">
                  <c:v>HU</c:v>
                </c:pt>
                <c:pt idx="4">
                  <c:v>UA</c:v>
                </c:pt>
                <c:pt idx="5">
                  <c:v>AT</c:v>
                </c:pt>
                <c:pt idx="6">
                  <c:v>SI</c:v>
                </c:pt>
                <c:pt idx="7">
                  <c:v>SK</c:v>
                </c:pt>
                <c:pt idx="8">
                  <c:v>RS</c:v>
                </c:pt>
                <c:pt idx="9">
                  <c:v>HR</c:v>
                </c:pt>
                <c:pt idx="10">
                  <c:v>CZ</c:v>
                </c:pt>
                <c:pt idx="11">
                  <c:v>RO</c:v>
                </c:pt>
                <c:pt idx="12">
                  <c:v>DE</c:v>
                </c:pt>
                <c:pt idx="13">
                  <c:v>MD</c:v>
                </c:pt>
              </c:strCache>
            </c:strRef>
          </c:cat>
          <c:val>
            <c:numRef>
              <c:f>'21.'!$H$41:$H$54</c:f>
              <c:numCache>
                <c:formatCode>#,##0</c:formatCode>
                <c:ptCount val="14"/>
                <c:pt idx="0">
                  <c:v>821</c:v>
                </c:pt>
                <c:pt idx="1">
                  <c:v>1728</c:v>
                </c:pt>
                <c:pt idx="2">
                  <c:v>6848</c:v>
                </c:pt>
                <c:pt idx="3">
                  <c:v>14861</c:v>
                </c:pt>
                <c:pt idx="4">
                  <c:v>12905</c:v>
                </c:pt>
                <c:pt idx="5">
                  <c:v>32852</c:v>
                </c:pt>
                <c:pt idx="6">
                  <c:v>7422</c:v>
                </c:pt>
                <c:pt idx="7">
                  <c:v>8089</c:v>
                </c:pt>
                <c:pt idx="8">
                  <c:v>9335</c:v>
                </c:pt>
                <c:pt idx="9">
                  <c:v>8494</c:v>
                </c:pt>
                <c:pt idx="10">
                  <c:v>23805</c:v>
                </c:pt>
                <c:pt idx="11">
                  <c:v>19964</c:v>
                </c:pt>
                <c:pt idx="12">
                  <c:v>188459</c:v>
                </c:pt>
                <c:pt idx="13">
                  <c:v>620</c:v>
                </c:pt>
              </c:numCache>
            </c:numRef>
          </c:val>
          <c:extLst>
            <c:ext xmlns:c16="http://schemas.microsoft.com/office/drawing/2014/chart" uri="{C3380CC4-5D6E-409C-BE32-E72D297353CC}">
              <c16:uniqueId val="{00000000-946A-4EBC-9144-3F4D39656544}"/>
            </c:ext>
          </c:extLst>
        </c:ser>
        <c:ser>
          <c:idx val="1"/>
          <c:order val="1"/>
          <c:tx>
            <c:strRef>
              <c:f>'21.'!$I$40</c:f>
              <c:strCache>
                <c:ptCount val="1"/>
                <c:pt idx="0">
                  <c:v>2010</c:v>
                </c:pt>
              </c:strCache>
            </c:strRef>
          </c:tx>
          <c:spPr>
            <a:solidFill>
              <a:schemeClr val="tx2">
                <a:lumMod val="25000"/>
                <a:lumOff val="75000"/>
              </a:schemeClr>
            </a:solidFill>
            <a:ln>
              <a:solidFill>
                <a:schemeClr val="tx2">
                  <a:lumMod val="25000"/>
                  <a:lumOff val="75000"/>
                </a:schemeClr>
              </a:solidFill>
            </a:ln>
            <a:effectLst/>
          </c:spPr>
          <c:invertIfNegative val="0"/>
          <c:cat>
            <c:strRef>
              <c:f>'21.'!$G$41:$G$54</c:f>
              <c:strCache>
                <c:ptCount val="14"/>
                <c:pt idx="0">
                  <c:v>ME</c:v>
                </c:pt>
                <c:pt idx="1">
                  <c:v>BA</c:v>
                </c:pt>
                <c:pt idx="2">
                  <c:v>BG</c:v>
                </c:pt>
                <c:pt idx="3">
                  <c:v>HU</c:v>
                </c:pt>
                <c:pt idx="4">
                  <c:v>UA</c:v>
                </c:pt>
                <c:pt idx="5">
                  <c:v>AT</c:v>
                </c:pt>
                <c:pt idx="6">
                  <c:v>SI</c:v>
                </c:pt>
                <c:pt idx="7">
                  <c:v>SK</c:v>
                </c:pt>
                <c:pt idx="8">
                  <c:v>RS</c:v>
                </c:pt>
                <c:pt idx="9">
                  <c:v>HR</c:v>
                </c:pt>
                <c:pt idx="10">
                  <c:v>CZ</c:v>
                </c:pt>
                <c:pt idx="11">
                  <c:v>RO</c:v>
                </c:pt>
                <c:pt idx="12">
                  <c:v>DE</c:v>
                </c:pt>
                <c:pt idx="13">
                  <c:v>MD</c:v>
                </c:pt>
              </c:strCache>
            </c:strRef>
          </c:cat>
          <c:val>
            <c:numRef>
              <c:f>'21.'!$I$41:$I$54</c:f>
              <c:numCache>
                <c:formatCode>#,##0</c:formatCode>
                <c:ptCount val="14"/>
                <c:pt idx="0">
                  <c:v>300</c:v>
                </c:pt>
                <c:pt idx="1">
                  <c:v>876</c:v>
                </c:pt>
                <c:pt idx="2">
                  <c:v>3678</c:v>
                </c:pt>
                <c:pt idx="3">
                  <c:v>8866</c:v>
                </c:pt>
                <c:pt idx="4">
                  <c:v>7891</c:v>
                </c:pt>
                <c:pt idx="5">
                  <c:v>20842</c:v>
                </c:pt>
                <c:pt idx="6">
                  <c:v>4886</c:v>
                </c:pt>
                <c:pt idx="7">
                  <c:v>5432</c:v>
                </c:pt>
                <c:pt idx="8">
                  <c:v>6274</c:v>
                </c:pt>
                <c:pt idx="9">
                  <c:v>5739</c:v>
                </c:pt>
                <c:pt idx="10">
                  <c:v>17804</c:v>
                </c:pt>
                <c:pt idx="11">
                  <c:v>15275</c:v>
                </c:pt>
                <c:pt idx="12">
                  <c:v>149060</c:v>
                </c:pt>
                <c:pt idx="13">
                  <c:v>513</c:v>
                </c:pt>
              </c:numCache>
            </c:numRef>
          </c:val>
          <c:extLst>
            <c:ext xmlns:c16="http://schemas.microsoft.com/office/drawing/2014/chart" uri="{C3380CC4-5D6E-409C-BE32-E72D297353CC}">
              <c16:uniqueId val="{00000001-946A-4EBC-9144-3F4D39656544}"/>
            </c:ext>
          </c:extLst>
        </c:ser>
        <c:dLbls>
          <c:showLegendKey val="0"/>
          <c:showVal val="0"/>
          <c:showCatName val="0"/>
          <c:showSerName val="0"/>
          <c:showPercent val="0"/>
          <c:showBubbleSize val="0"/>
        </c:dLbls>
        <c:gapWidth val="219"/>
        <c:axId val="1787680640"/>
        <c:axId val="773507776"/>
      </c:barChart>
      <c:lineChart>
        <c:grouping val="standard"/>
        <c:varyColors val="0"/>
        <c:ser>
          <c:idx val="2"/>
          <c:order val="2"/>
          <c:tx>
            <c:strRef>
              <c:f>'21.'!$J$40</c:f>
              <c:strCache>
                <c:ptCount val="1"/>
                <c:pt idx="0">
                  <c:v>Growth(%)</c:v>
                </c:pt>
              </c:strCache>
            </c:strRef>
          </c:tx>
          <c:spPr>
            <a:ln w="28575" cap="rnd">
              <a:noFill/>
              <a:round/>
            </a:ln>
            <a:effectLst/>
          </c:spPr>
          <c:marker>
            <c:symbol val="triangle"/>
            <c:size val="7"/>
            <c:spPr>
              <a:solidFill>
                <a:srgbClr val="FFFF00"/>
              </a:solidFill>
              <a:ln w="9525">
                <a:solidFill>
                  <a:srgbClr val="FFFF00"/>
                </a:solidFill>
              </a:ln>
              <a:effectLst/>
            </c:spPr>
          </c:marker>
          <c:cat>
            <c:strRef>
              <c:f>'21.'!$G$41:$G$54</c:f>
              <c:strCache>
                <c:ptCount val="14"/>
                <c:pt idx="0">
                  <c:v>ME</c:v>
                </c:pt>
                <c:pt idx="1">
                  <c:v>BA</c:v>
                </c:pt>
                <c:pt idx="2">
                  <c:v>BG</c:v>
                </c:pt>
                <c:pt idx="3">
                  <c:v>HU</c:v>
                </c:pt>
                <c:pt idx="4">
                  <c:v>UA</c:v>
                </c:pt>
                <c:pt idx="5">
                  <c:v>AT</c:v>
                </c:pt>
                <c:pt idx="6">
                  <c:v>SI</c:v>
                </c:pt>
                <c:pt idx="7">
                  <c:v>SK</c:v>
                </c:pt>
                <c:pt idx="8">
                  <c:v>RS</c:v>
                </c:pt>
                <c:pt idx="9">
                  <c:v>HR</c:v>
                </c:pt>
                <c:pt idx="10">
                  <c:v>CZ</c:v>
                </c:pt>
                <c:pt idx="11">
                  <c:v>RO</c:v>
                </c:pt>
                <c:pt idx="12">
                  <c:v>DE</c:v>
                </c:pt>
                <c:pt idx="13">
                  <c:v>MD</c:v>
                </c:pt>
              </c:strCache>
            </c:strRef>
          </c:cat>
          <c:val>
            <c:numRef>
              <c:f>'21.'!$J$41:$J$54</c:f>
              <c:numCache>
                <c:formatCode>0.00</c:formatCode>
                <c:ptCount val="14"/>
                <c:pt idx="0">
                  <c:v>173.66666666666666</c:v>
                </c:pt>
                <c:pt idx="1">
                  <c:v>97.260273972602747</c:v>
                </c:pt>
                <c:pt idx="2">
                  <c:v>86.188145731375741</c:v>
                </c:pt>
                <c:pt idx="3">
                  <c:v>67.617866004962778</c:v>
                </c:pt>
                <c:pt idx="4">
                  <c:v>63.540742618172594</c:v>
                </c:pt>
                <c:pt idx="5">
                  <c:v>57.624028404183861</c:v>
                </c:pt>
                <c:pt idx="6">
                  <c:v>51.903397462136716</c:v>
                </c:pt>
                <c:pt idx="7">
                  <c:v>48.913843888070687</c:v>
                </c:pt>
                <c:pt idx="8">
                  <c:v>48.788651577940705</c:v>
                </c:pt>
                <c:pt idx="9">
                  <c:v>48.004878898762847</c:v>
                </c:pt>
                <c:pt idx="10">
                  <c:v>33.7059087845428</c:v>
                </c:pt>
                <c:pt idx="11">
                  <c:v>30.697217675941079</c:v>
                </c:pt>
                <c:pt idx="12">
                  <c:v>26.431638266469875</c:v>
                </c:pt>
                <c:pt idx="13">
                  <c:v>20.857699805068226</c:v>
                </c:pt>
              </c:numCache>
            </c:numRef>
          </c:val>
          <c:smooth val="0"/>
          <c:extLst>
            <c:ext xmlns:c16="http://schemas.microsoft.com/office/drawing/2014/chart" uri="{C3380CC4-5D6E-409C-BE32-E72D297353CC}">
              <c16:uniqueId val="{00000002-946A-4EBC-9144-3F4D39656544}"/>
            </c:ext>
          </c:extLst>
        </c:ser>
        <c:dLbls>
          <c:showLegendKey val="0"/>
          <c:showVal val="0"/>
          <c:showCatName val="0"/>
          <c:showSerName val="0"/>
          <c:showPercent val="0"/>
          <c:showBubbleSize val="0"/>
        </c:dLbls>
        <c:marker val="1"/>
        <c:smooth val="0"/>
        <c:axId val="1459976832"/>
        <c:axId val="1717056128"/>
      </c:lineChart>
      <c:catAx>
        <c:axId val="178768064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73507776"/>
        <c:crosses val="autoZero"/>
        <c:auto val="1"/>
        <c:lblAlgn val="ctr"/>
        <c:lblOffset val="100"/>
        <c:noMultiLvlLbl val="0"/>
      </c:catAx>
      <c:valAx>
        <c:axId val="773507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787680640"/>
        <c:crosses val="autoZero"/>
        <c:crossBetween val="between"/>
      </c:valAx>
      <c:valAx>
        <c:axId val="171705612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459976832"/>
        <c:crosses val="max"/>
        <c:crossBetween val="between"/>
      </c:valAx>
      <c:catAx>
        <c:axId val="1459976832"/>
        <c:scaling>
          <c:orientation val="minMax"/>
        </c:scaling>
        <c:delete val="1"/>
        <c:axPos val="b"/>
        <c:numFmt formatCode="General" sourceLinked="1"/>
        <c:majorTickMark val="out"/>
        <c:minorTickMark val="none"/>
        <c:tickLblPos val="nextTo"/>
        <c:crossAx val="1717056128"/>
        <c:crosses val="autoZero"/>
        <c:auto val="1"/>
        <c:lblAlgn val="ctr"/>
        <c:lblOffset val="100"/>
        <c:noMultiLvlLbl val="0"/>
      </c:catAx>
      <c:spPr>
        <a:noFill/>
        <a:ln>
          <a:noFill/>
        </a:ln>
        <a:effectLst/>
      </c:spPr>
    </c:plotArea>
    <c:legend>
      <c:legendPos val="b"/>
      <c:layout>
        <c:manualLayout>
          <c:xMode val="edge"/>
          <c:yMode val="edge"/>
          <c:x val="0.24347847361271174"/>
          <c:y val="0.13110058025907326"/>
          <c:w val="0.31516897264375071"/>
          <c:h val="0.150695011549303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'20.'!$B$2</c:f>
              <c:strCache>
                <c:ptCount val="1"/>
                <c:pt idx="0">
                  <c:v>2024</c:v>
                </c:pt>
              </c:strCache>
            </c:strRef>
          </c:tx>
          <c:spPr>
            <a:solidFill>
              <a:schemeClr val="tx2">
                <a:lumMod val="25000"/>
                <a:lumOff val="75000"/>
              </a:schemeClr>
            </a:solidFill>
            <a:ln w="25400">
              <a:solidFill>
                <a:schemeClr val="tx2">
                  <a:lumMod val="25000"/>
                  <a:lumOff val="75000"/>
                </a:schemeClr>
              </a:solidFill>
            </a:ln>
            <a:effectLst/>
          </c:spPr>
          <c:invertIfNegative val="0"/>
          <c:dPt>
            <c:idx val="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1-5C8E-45AD-B237-38460D84C1EF}"/>
              </c:ext>
            </c:extLst>
          </c:dPt>
          <c:dPt>
            <c:idx val="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3-5C8E-45AD-B237-38460D84C1EF}"/>
              </c:ext>
            </c:extLst>
          </c:dPt>
          <c:dPt>
            <c:idx val="12"/>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5-5C8E-45AD-B237-38460D84C1EF}"/>
              </c:ext>
            </c:extLst>
          </c:dPt>
          <c:dPt>
            <c:idx val="14"/>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7-5C8E-45AD-B237-38460D84C1EF}"/>
              </c:ext>
            </c:extLst>
          </c:dPt>
          <c:dPt>
            <c:idx val="1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9-5C8E-45AD-B237-38460D84C1EF}"/>
              </c:ext>
            </c:extLst>
          </c:dPt>
          <c:dPt>
            <c:idx val="2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B-5C8E-45AD-B237-38460D84C1EF}"/>
              </c:ext>
            </c:extLst>
          </c:dPt>
          <c:dPt>
            <c:idx val="2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D-5C8E-45AD-B237-38460D84C1EF}"/>
              </c:ext>
            </c:extLst>
          </c:dPt>
          <c:dPt>
            <c:idx val="2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F-5C8E-45AD-B237-38460D84C1EF}"/>
              </c:ext>
            </c:extLst>
          </c:dPt>
          <c:dPt>
            <c:idx val="26"/>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1-5C8E-45AD-B237-38460D84C1EF}"/>
              </c:ext>
            </c:extLst>
          </c:dPt>
          <c:dPt>
            <c:idx val="2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3-5C8E-45AD-B237-38460D84C1EF}"/>
              </c:ext>
            </c:extLst>
          </c:dPt>
          <c:dPt>
            <c:idx val="29"/>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5-5C8E-45AD-B237-38460D84C1EF}"/>
              </c:ext>
            </c:extLst>
          </c:dPt>
          <c:dPt>
            <c:idx val="3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7-5C8E-45AD-B237-38460D84C1EF}"/>
              </c:ext>
            </c:extLst>
          </c:dPt>
          <c:dPt>
            <c:idx val="31"/>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9-5C8E-45AD-B237-38460D84C1EF}"/>
              </c:ext>
            </c:extLst>
          </c:dPt>
          <c:dPt>
            <c:idx val="3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B-5C8E-45AD-B237-38460D84C1EF}"/>
              </c:ext>
            </c:extLst>
          </c:dPt>
          <c:dPt>
            <c:idx val="3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D-5C8E-45AD-B237-38460D84C1EF}"/>
              </c:ext>
            </c:extLst>
          </c:dPt>
          <c:dPt>
            <c:idx val="3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F-5C8E-45AD-B237-38460D84C1EF}"/>
              </c:ext>
            </c:extLst>
          </c:dPt>
          <c:dPt>
            <c:idx val="3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1-5C8E-45AD-B237-38460D84C1EF}"/>
              </c:ext>
            </c:extLst>
          </c:dPt>
          <c:dPt>
            <c:idx val="3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3-5C8E-45AD-B237-38460D84C1EF}"/>
              </c:ext>
            </c:extLst>
          </c:dPt>
          <c:dPt>
            <c:idx val="39"/>
            <c:invertIfNegative val="0"/>
            <c:bubble3D val="0"/>
            <c:spPr>
              <a:solidFill>
                <a:schemeClr val="accent1"/>
              </a:solidFill>
              <a:ln w="25400">
                <a:solidFill>
                  <a:schemeClr val="tx2">
                    <a:lumMod val="25000"/>
                    <a:lumOff val="75000"/>
                  </a:schemeClr>
                </a:solidFill>
              </a:ln>
              <a:effectLst/>
            </c:spPr>
            <c:extLst>
              <c:ext xmlns:c16="http://schemas.microsoft.com/office/drawing/2014/chart" uri="{C3380CC4-5D6E-409C-BE32-E72D297353CC}">
                <c16:uniqueId val="{00000025-5C8E-45AD-B237-38460D84C1EF}"/>
              </c:ext>
            </c:extLst>
          </c:dPt>
          <c:cat>
            <c:strRef>
              <c:f>'20.'!$A$3:$A$42</c:f>
              <c:strCache>
                <c:ptCount val="40"/>
                <c:pt idx="0">
                  <c:v>SE</c:v>
                </c:pt>
                <c:pt idx="1">
                  <c:v>FI</c:v>
                </c:pt>
                <c:pt idx="2">
                  <c:v>CH</c:v>
                </c:pt>
                <c:pt idx="3">
                  <c:v>DK</c:v>
                </c:pt>
                <c:pt idx="4">
                  <c:v>DE</c:v>
                </c:pt>
                <c:pt idx="5">
                  <c:v>NL</c:v>
                </c:pt>
                <c:pt idx="6">
                  <c:v>AT</c:v>
                </c:pt>
                <c:pt idx="7">
                  <c:v>EU27</c:v>
                </c:pt>
                <c:pt idx="8">
                  <c:v>BE</c:v>
                </c:pt>
                <c:pt idx="9">
                  <c:v>FR</c:v>
                </c:pt>
                <c:pt idx="10">
                  <c:v>UK</c:v>
                </c:pt>
                <c:pt idx="11">
                  <c:v>NO</c:v>
                </c:pt>
                <c:pt idx="12">
                  <c:v>IT</c:v>
                </c:pt>
                <c:pt idx="13">
                  <c:v>IS</c:v>
                </c:pt>
                <c:pt idx="14">
                  <c:v>LU</c:v>
                </c:pt>
                <c:pt idx="15">
                  <c:v>SI</c:v>
                </c:pt>
                <c:pt idx="16">
                  <c:v>MT</c:v>
                </c:pt>
                <c:pt idx="17">
                  <c:v>IE</c:v>
                </c:pt>
                <c:pt idx="18">
                  <c:v>ES</c:v>
                </c:pt>
                <c:pt idx="19">
                  <c:v>EE</c:v>
                </c:pt>
                <c:pt idx="20">
                  <c:v>HU</c:v>
                </c:pt>
                <c:pt idx="21">
                  <c:v>TR</c:v>
                </c:pt>
                <c:pt idx="22">
                  <c:v>PT</c:v>
                </c:pt>
                <c:pt idx="23">
                  <c:v>LV</c:v>
                </c:pt>
                <c:pt idx="24">
                  <c:v>CY</c:v>
                </c:pt>
                <c:pt idx="25">
                  <c:v>CZ</c:v>
                </c:pt>
                <c:pt idx="26">
                  <c:v>EL</c:v>
                </c:pt>
                <c:pt idx="27">
                  <c:v>PL</c:v>
                </c:pt>
                <c:pt idx="28">
                  <c:v>SK</c:v>
                </c:pt>
                <c:pt idx="29">
                  <c:v>LT</c:v>
                </c:pt>
                <c:pt idx="30">
                  <c:v>BG</c:v>
                </c:pt>
                <c:pt idx="31">
                  <c:v>HR</c:v>
                </c:pt>
                <c:pt idx="32">
                  <c:v>UA</c:v>
                </c:pt>
                <c:pt idx="33">
                  <c:v>RS</c:v>
                </c:pt>
                <c:pt idx="34">
                  <c:v>BA</c:v>
                </c:pt>
                <c:pt idx="35">
                  <c:v>MK</c:v>
                </c:pt>
                <c:pt idx="36">
                  <c:v>MD</c:v>
                </c:pt>
                <c:pt idx="37">
                  <c:v>RO</c:v>
                </c:pt>
                <c:pt idx="38">
                  <c:v>ME</c:v>
                </c:pt>
                <c:pt idx="39">
                  <c:v>AL</c:v>
                </c:pt>
              </c:strCache>
            </c:strRef>
          </c:cat>
          <c:val>
            <c:numRef>
              <c:f>'20.'!$B$3:$B$42</c:f>
              <c:numCache>
                <c:formatCode>_-\ #\ ##0.00_-;\-* #\ ##0.00_-;_-* "-"??_-;_-@_-</c:formatCode>
                <c:ptCount val="40"/>
                <c:pt idx="0">
                  <c:v>8.5926342356104097</c:v>
                </c:pt>
                <c:pt idx="1">
                  <c:v>7.4973434475046004</c:v>
                </c:pt>
                <c:pt idx="2">
                  <c:v>7.3788694857269803</c:v>
                </c:pt>
                <c:pt idx="3">
                  <c:v>6.7047093103879103</c:v>
                </c:pt>
                <c:pt idx="4">
                  <c:v>5.7693382676002702</c:v>
                </c:pt>
                <c:pt idx="5">
                  <c:v>5.0877336424903596</c:v>
                </c:pt>
                <c:pt idx="6">
                  <c:v>4.7801185096610403</c:v>
                </c:pt>
                <c:pt idx="7">
                  <c:v>3.3997294175876598</c:v>
                </c:pt>
                <c:pt idx="8">
                  <c:v>3.3918525762231</c:v>
                </c:pt>
                <c:pt idx="9">
                  <c:v>3.29774820042286</c:v>
                </c:pt>
                <c:pt idx="10">
                  <c:v>3.1780093396357998</c:v>
                </c:pt>
                <c:pt idx="11">
                  <c:v>3.1028784796118898</c:v>
                </c:pt>
                <c:pt idx="12">
                  <c:v>2.3119374617844302</c:v>
                </c:pt>
                <c:pt idx="13">
                  <c:v>2.2023871501194301</c:v>
                </c:pt>
                <c:pt idx="14">
                  <c:v>2.20188913291036</c:v>
                </c:pt>
                <c:pt idx="15">
                  <c:v>1.96370060749898</c:v>
                </c:pt>
                <c:pt idx="16">
                  <c:v>1.8954124482846499</c:v>
                </c:pt>
                <c:pt idx="17">
                  <c:v>1.75567005273362</c:v>
                </c:pt>
                <c:pt idx="18">
                  <c:v>1.60590835354924</c:v>
                </c:pt>
                <c:pt idx="19">
                  <c:v>1.2246081288095501</c:v>
                </c:pt>
                <c:pt idx="20">
                  <c:v>1.1738572648424801</c:v>
                </c:pt>
                <c:pt idx="21">
                  <c:v>1.1069490565384399</c:v>
                </c:pt>
                <c:pt idx="22">
                  <c:v>1.0206185217502199</c:v>
                </c:pt>
                <c:pt idx="23">
                  <c:v>0.97460892667894095</c:v>
                </c:pt>
                <c:pt idx="24">
                  <c:v>0.88472673293310999</c:v>
                </c:pt>
                <c:pt idx="25">
                  <c:v>0.82670680188704404</c:v>
                </c:pt>
                <c:pt idx="26">
                  <c:v>0.62515285977947999</c:v>
                </c:pt>
                <c:pt idx="27">
                  <c:v>0.55956275378414599</c:v>
                </c:pt>
                <c:pt idx="28">
                  <c:v>0.55576539256909296</c:v>
                </c:pt>
                <c:pt idx="29">
                  <c:v>0.51984647451945099</c:v>
                </c:pt>
                <c:pt idx="30">
                  <c:v>0.49881178686377498</c:v>
                </c:pt>
                <c:pt idx="31">
                  <c:v>0.46149212502173798</c:v>
                </c:pt>
                <c:pt idx="32">
                  <c:v>0.40230510818285498</c:v>
                </c:pt>
                <c:pt idx="33">
                  <c:v>0.33921437134914301</c:v>
                </c:pt>
                <c:pt idx="34">
                  <c:v>0.31951932106709302</c:v>
                </c:pt>
                <c:pt idx="35">
                  <c:v>0.30631300541645901</c:v>
                </c:pt>
                <c:pt idx="36">
                  <c:v>0.21226087316997599</c:v>
                </c:pt>
                <c:pt idx="37">
                  <c:v>0.17047611533145801</c:v>
                </c:pt>
                <c:pt idx="38">
                  <c:v>0.119955856244902</c:v>
                </c:pt>
                <c:pt idx="39">
                  <c:v>4.0220682842620897E-3</c:v>
                </c:pt>
              </c:numCache>
            </c:numRef>
          </c:val>
          <c:extLst>
            <c:ext xmlns:c16="http://schemas.microsoft.com/office/drawing/2014/chart" uri="{C3380CC4-5D6E-409C-BE32-E72D297353CC}">
              <c16:uniqueId val="{00000026-5C8E-45AD-B237-38460D84C1EF}"/>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'20.'!$C$2</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'20.'!$A$3:$A$42</c:f>
              <c:strCache>
                <c:ptCount val="40"/>
                <c:pt idx="0">
                  <c:v>SE</c:v>
                </c:pt>
                <c:pt idx="1">
                  <c:v>FI</c:v>
                </c:pt>
                <c:pt idx="2">
                  <c:v>CH</c:v>
                </c:pt>
                <c:pt idx="3">
                  <c:v>DK</c:v>
                </c:pt>
                <c:pt idx="4">
                  <c:v>DE</c:v>
                </c:pt>
                <c:pt idx="5">
                  <c:v>NL</c:v>
                </c:pt>
                <c:pt idx="6">
                  <c:v>AT</c:v>
                </c:pt>
                <c:pt idx="7">
                  <c:v>EU27</c:v>
                </c:pt>
                <c:pt idx="8">
                  <c:v>BE</c:v>
                </c:pt>
                <c:pt idx="9">
                  <c:v>FR</c:v>
                </c:pt>
                <c:pt idx="10">
                  <c:v>UK</c:v>
                </c:pt>
                <c:pt idx="11">
                  <c:v>NO</c:v>
                </c:pt>
                <c:pt idx="12">
                  <c:v>IT</c:v>
                </c:pt>
                <c:pt idx="13">
                  <c:v>IS</c:v>
                </c:pt>
                <c:pt idx="14">
                  <c:v>LU</c:v>
                </c:pt>
                <c:pt idx="15">
                  <c:v>SI</c:v>
                </c:pt>
                <c:pt idx="16">
                  <c:v>MT</c:v>
                </c:pt>
                <c:pt idx="17">
                  <c:v>IE</c:v>
                </c:pt>
                <c:pt idx="18">
                  <c:v>ES</c:v>
                </c:pt>
                <c:pt idx="19">
                  <c:v>EE</c:v>
                </c:pt>
                <c:pt idx="20">
                  <c:v>HU</c:v>
                </c:pt>
                <c:pt idx="21">
                  <c:v>TR</c:v>
                </c:pt>
                <c:pt idx="22">
                  <c:v>PT</c:v>
                </c:pt>
                <c:pt idx="23">
                  <c:v>LV</c:v>
                </c:pt>
                <c:pt idx="24">
                  <c:v>CY</c:v>
                </c:pt>
                <c:pt idx="25">
                  <c:v>CZ</c:v>
                </c:pt>
                <c:pt idx="26">
                  <c:v>EL</c:v>
                </c:pt>
                <c:pt idx="27">
                  <c:v>PL</c:v>
                </c:pt>
                <c:pt idx="28">
                  <c:v>SK</c:v>
                </c:pt>
                <c:pt idx="29">
                  <c:v>LT</c:v>
                </c:pt>
                <c:pt idx="30">
                  <c:v>BG</c:v>
                </c:pt>
                <c:pt idx="31">
                  <c:v>HR</c:v>
                </c:pt>
                <c:pt idx="32">
                  <c:v>UA</c:v>
                </c:pt>
                <c:pt idx="33">
                  <c:v>RS</c:v>
                </c:pt>
                <c:pt idx="34">
                  <c:v>BA</c:v>
                </c:pt>
                <c:pt idx="35">
                  <c:v>MK</c:v>
                </c:pt>
                <c:pt idx="36">
                  <c:v>MD</c:v>
                </c:pt>
                <c:pt idx="37">
                  <c:v>RO</c:v>
                </c:pt>
                <c:pt idx="38">
                  <c:v>ME</c:v>
                </c:pt>
                <c:pt idx="39">
                  <c:v>AL</c:v>
                </c:pt>
              </c:strCache>
            </c:strRef>
          </c:cat>
          <c:val>
            <c:numRef>
              <c:f>'20.'!$C$3:$C$42</c:f>
              <c:numCache>
                <c:formatCode>_-\ #\ ##0.00_-;\-* #\ ##0.00_-;_-* "-"??_-;_-@_-</c:formatCode>
                <c:ptCount val="40"/>
                <c:pt idx="0">
                  <c:v>9.5494740164502208</c:v>
                </c:pt>
                <c:pt idx="1">
                  <c:v>9.2789080182394006</c:v>
                </c:pt>
                <c:pt idx="2">
                  <c:v>6.7421608976362597</c:v>
                </c:pt>
                <c:pt idx="3">
                  <c:v>6.4383050398060098</c:v>
                </c:pt>
                <c:pt idx="4">
                  <c:v>6.73390983494083</c:v>
                </c:pt>
                <c:pt idx="5">
                  <c:v>5.9103266162127603</c:v>
                </c:pt>
                <c:pt idx="6">
                  <c:v>5.0673057216564299</c:v>
                </c:pt>
                <c:pt idx="7">
                  <c:v>3.9183912791153999</c:v>
                </c:pt>
                <c:pt idx="8">
                  <c:v>3.5238651207942699</c:v>
                </c:pt>
                <c:pt idx="9">
                  <c:v>4.2682831231597804</c:v>
                </c:pt>
                <c:pt idx="10">
                  <c:v>3.4879739074683398</c:v>
                </c:pt>
                <c:pt idx="11">
                  <c:v>3.0174447464934402</c:v>
                </c:pt>
                <c:pt idx="12">
                  <c:v>2.2044863148865299</c:v>
                </c:pt>
                <c:pt idx="13">
                  <c:v>3.3266863922434098</c:v>
                </c:pt>
                <c:pt idx="14">
                  <c:v>1.6110115761038499</c:v>
                </c:pt>
                <c:pt idx="15">
                  <c:v>3.5048489214768699</c:v>
                </c:pt>
                <c:pt idx="16">
                  <c:v>0.86964361262767698</c:v>
                </c:pt>
                <c:pt idx="17">
                  <c:v>2.5526919220705402</c:v>
                </c:pt>
                <c:pt idx="18">
                  <c:v>1.6334024551847099</c:v>
                </c:pt>
                <c:pt idx="19">
                  <c:v>1.30410198495492</c:v>
                </c:pt>
                <c:pt idx="20">
                  <c:v>1.3850122681882999</c:v>
                </c:pt>
                <c:pt idx="21">
                  <c:v>0.61608197803796005</c:v>
                </c:pt>
                <c:pt idx="22">
                  <c:v>0.77753970362218505</c:v>
                </c:pt>
                <c:pt idx="23">
                  <c:v>1.0543271979659601</c:v>
                </c:pt>
                <c:pt idx="24">
                  <c:v>0.67189347862814697</c:v>
                </c:pt>
                <c:pt idx="25">
                  <c:v>1.0934684636524401</c:v>
                </c:pt>
                <c:pt idx="26">
                  <c:v>0.57650213032087805</c:v>
                </c:pt>
                <c:pt idx="27">
                  <c:v>0.56734128709687104</c:v>
                </c:pt>
                <c:pt idx="28">
                  <c:v>0.64536744424862502</c:v>
                </c:pt>
                <c:pt idx="29">
                  <c:v>0.774551575403714</c:v>
                </c:pt>
                <c:pt idx="30">
                  <c:v>0.52813916295097996</c:v>
                </c:pt>
                <c:pt idx="31">
                  <c:v>0.56256310827584899</c:v>
                </c:pt>
                <c:pt idx="32">
                  <c:v>0.43733614680271399</c:v>
                </c:pt>
                <c:pt idx="33">
                  <c:v>0.32268839414199402</c:v>
                </c:pt>
                <c:pt idx="35">
                  <c:v>0.29013182535119098</c:v>
                </c:pt>
                <c:pt idx="36">
                  <c:v>7.8484759957878195E-2</c:v>
                </c:pt>
                <c:pt idx="37">
                  <c:v>0.27200412462252299</c:v>
                </c:pt>
                <c:pt idx="38">
                  <c:v>0.45004500450044999</c:v>
                </c:pt>
                <c:pt idx="39">
                  <c:v>8.4523453749068E-2</c:v>
                </c:pt>
              </c:numCache>
            </c:numRef>
          </c:val>
          <c:smooth val="0"/>
          <c:extLst>
            <c:ext xmlns:c16="http://schemas.microsoft.com/office/drawing/2014/chart" uri="{C3380CC4-5D6E-409C-BE32-E72D297353CC}">
              <c16:uniqueId val="{00000027-5C8E-45AD-B237-38460D84C1EF}"/>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1512354524515886"/>
          <c:h val="7.996468768546453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'21.'!$B$2</c:f>
              <c:strCache>
                <c:ptCount val="1"/>
                <c:pt idx="0">
                  <c:v>2024</c:v>
                </c:pt>
              </c:strCache>
            </c:strRef>
          </c:tx>
          <c:spPr>
            <a:solidFill>
              <a:schemeClr val="tx2">
                <a:lumMod val="25000"/>
                <a:lumOff val="75000"/>
              </a:schemeClr>
            </a:solidFill>
            <a:ln w="25400">
              <a:solidFill>
                <a:schemeClr val="tx2">
                  <a:lumMod val="25000"/>
                  <a:lumOff val="75000"/>
                </a:schemeClr>
              </a:solidFill>
            </a:ln>
            <a:effectLst/>
          </c:spPr>
          <c:invertIfNegative val="0"/>
          <c:dPt>
            <c:idx val="4"/>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1-23A2-4193-965A-A1F4BF664C2F}"/>
              </c:ext>
            </c:extLst>
          </c:dPt>
          <c:dPt>
            <c:idx val="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3-23A2-4193-965A-A1F4BF664C2F}"/>
              </c:ext>
            </c:extLst>
          </c:dPt>
          <c:dPt>
            <c:idx val="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5-23A2-4193-965A-A1F4BF664C2F}"/>
              </c:ext>
            </c:extLst>
          </c:dPt>
          <c:dPt>
            <c:idx val="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7-23A2-4193-965A-A1F4BF664C2F}"/>
              </c:ext>
            </c:extLst>
          </c:dPt>
          <c:dPt>
            <c:idx val="1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9-23A2-4193-965A-A1F4BF664C2F}"/>
              </c:ext>
            </c:extLst>
          </c:dPt>
          <c:dPt>
            <c:idx val="12"/>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B-23A2-4193-965A-A1F4BF664C2F}"/>
              </c:ext>
            </c:extLst>
          </c:dPt>
          <c:dPt>
            <c:idx val="13"/>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D-23A2-4193-965A-A1F4BF664C2F}"/>
              </c:ext>
            </c:extLst>
          </c:dPt>
          <c:dPt>
            <c:idx val="14"/>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F-23A2-4193-965A-A1F4BF664C2F}"/>
              </c:ext>
            </c:extLst>
          </c:dPt>
          <c:dPt>
            <c:idx val="15"/>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1-23A2-4193-965A-A1F4BF664C2F}"/>
              </c:ext>
            </c:extLst>
          </c:dPt>
          <c:dPt>
            <c:idx val="20"/>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3-23A2-4193-965A-A1F4BF664C2F}"/>
              </c:ext>
            </c:extLst>
          </c:dPt>
          <c:dPt>
            <c:idx val="22"/>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5-23A2-4193-965A-A1F4BF664C2F}"/>
              </c:ext>
            </c:extLst>
          </c:dPt>
          <c:dPt>
            <c:idx val="2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7-23A2-4193-965A-A1F4BF664C2F}"/>
              </c:ext>
            </c:extLst>
          </c:dPt>
          <c:dPt>
            <c:idx val="2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9-23A2-4193-965A-A1F4BF664C2F}"/>
              </c:ext>
            </c:extLst>
          </c:dPt>
          <c:dPt>
            <c:idx val="26"/>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B-23A2-4193-965A-A1F4BF664C2F}"/>
              </c:ext>
            </c:extLst>
          </c:dPt>
          <c:dPt>
            <c:idx val="28"/>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D-23A2-4193-965A-A1F4BF664C2F}"/>
              </c:ext>
            </c:extLst>
          </c:dPt>
          <c:dPt>
            <c:idx val="29"/>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F-23A2-4193-965A-A1F4BF664C2F}"/>
              </c:ext>
            </c:extLst>
          </c:dPt>
          <c:dPt>
            <c:idx val="3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1-23A2-4193-965A-A1F4BF664C2F}"/>
              </c:ext>
            </c:extLst>
          </c:dPt>
          <c:dPt>
            <c:idx val="31"/>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3-23A2-4193-965A-A1F4BF664C2F}"/>
              </c:ext>
            </c:extLst>
          </c:dPt>
          <c:dPt>
            <c:idx val="3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5-23A2-4193-965A-A1F4BF664C2F}"/>
              </c:ext>
            </c:extLst>
          </c:dPt>
          <c:dPt>
            <c:idx val="33"/>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7-23A2-4193-965A-A1F4BF664C2F}"/>
              </c:ext>
            </c:extLst>
          </c:dPt>
          <c:dPt>
            <c:idx val="34"/>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9-23A2-4193-965A-A1F4BF664C2F}"/>
              </c:ext>
            </c:extLst>
          </c:dPt>
          <c:dPt>
            <c:idx val="3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B-23A2-4193-965A-A1F4BF664C2F}"/>
              </c:ext>
            </c:extLst>
          </c:dPt>
          <c:dPt>
            <c:idx val="3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D-23A2-4193-965A-A1F4BF664C2F}"/>
              </c:ext>
            </c:extLst>
          </c:dPt>
          <c:dPt>
            <c:idx val="3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F-23A2-4193-965A-A1F4BF664C2F}"/>
              </c:ext>
            </c:extLst>
          </c:dPt>
          <c:dPt>
            <c:idx val="39"/>
            <c:invertIfNegative val="0"/>
            <c:bubble3D val="0"/>
            <c:spPr>
              <a:solidFill>
                <a:schemeClr val="accent1"/>
              </a:solidFill>
              <a:ln w="25400">
                <a:solidFill>
                  <a:schemeClr val="tx2">
                    <a:lumMod val="25000"/>
                    <a:lumOff val="75000"/>
                  </a:schemeClr>
                </a:solidFill>
              </a:ln>
              <a:effectLst/>
            </c:spPr>
            <c:extLst>
              <c:ext xmlns:c16="http://schemas.microsoft.com/office/drawing/2014/chart" uri="{C3380CC4-5D6E-409C-BE32-E72D297353CC}">
                <c16:uniqueId val="{00000031-23A2-4193-965A-A1F4BF664C2F}"/>
              </c:ext>
            </c:extLst>
          </c:dPt>
          <c:cat>
            <c:strRef>
              <c:f>'21.'!$A$3:$A$42</c:f>
              <c:strCache>
                <c:ptCount val="40"/>
                <c:pt idx="0">
                  <c:v>EL</c:v>
                </c:pt>
                <c:pt idx="1">
                  <c:v>NO</c:v>
                </c:pt>
                <c:pt idx="2">
                  <c:v>CY</c:v>
                </c:pt>
                <c:pt idx="3">
                  <c:v>CH</c:v>
                </c:pt>
                <c:pt idx="4">
                  <c:v>SE</c:v>
                </c:pt>
                <c:pt idx="5">
                  <c:v>FI</c:v>
                </c:pt>
                <c:pt idx="6">
                  <c:v>CZ</c:v>
                </c:pt>
                <c:pt idx="7">
                  <c:v>SI</c:v>
                </c:pt>
                <c:pt idx="8">
                  <c:v>BE</c:v>
                </c:pt>
                <c:pt idx="9">
                  <c:v>HR</c:v>
                </c:pt>
                <c:pt idx="10">
                  <c:v>DE</c:v>
                </c:pt>
                <c:pt idx="11">
                  <c:v>DK</c:v>
                </c:pt>
                <c:pt idx="12">
                  <c:v>LT</c:v>
                </c:pt>
                <c:pt idx="13">
                  <c:v>AT</c:v>
                </c:pt>
                <c:pt idx="14">
                  <c:v>IT</c:v>
                </c:pt>
                <c:pt idx="15">
                  <c:v>IE</c:v>
                </c:pt>
                <c:pt idx="16">
                  <c:v>NL</c:v>
                </c:pt>
                <c:pt idx="17">
                  <c:v>UK</c:v>
                </c:pt>
                <c:pt idx="18">
                  <c:v>EE</c:v>
                </c:pt>
                <c:pt idx="19">
                  <c:v>FR</c:v>
                </c:pt>
                <c:pt idx="20">
                  <c:v>EU27</c:v>
                </c:pt>
                <c:pt idx="21">
                  <c:v>PT</c:v>
                </c:pt>
                <c:pt idx="22">
                  <c:v>LU</c:v>
                </c:pt>
                <c:pt idx="23">
                  <c:v>AL</c:v>
                </c:pt>
                <c:pt idx="24">
                  <c:v>BG</c:v>
                </c:pt>
                <c:pt idx="25">
                  <c:v>HU</c:v>
                </c:pt>
                <c:pt idx="26">
                  <c:v>TR</c:v>
                </c:pt>
                <c:pt idx="27">
                  <c:v>ES</c:v>
                </c:pt>
                <c:pt idx="28">
                  <c:v>MT</c:v>
                </c:pt>
                <c:pt idx="29">
                  <c:v>PL</c:v>
                </c:pt>
                <c:pt idx="30">
                  <c:v>SK</c:v>
                </c:pt>
                <c:pt idx="31">
                  <c:v>LV</c:v>
                </c:pt>
                <c:pt idx="32">
                  <c:v>MD</c:v>
                </c:pt>
                <c:pt idx="33">
                  <c:v>RO</c:v>
                </c:pt>
                <c:pt idx="34">
                  <c:v>UA</c:v>
                </c:pt>
                <c:pt idx="35">
                  <c:v>BA</c:v>
                </c:pt>
                <c:pt idx="36">
                  <c:v>IS</c:v>
                </c:pt>
                <c:pt idx="37">
                  <c:v>ME</c:v>
                </c:pt>
                <c:pt idx="38">
                  <c:v>MK</c:v>
                </c:pt>
                <c:pt idx="39">
                  <c:v>RS</c:v>
                </c:pt>
              </c:strCache>
            </c:strRef>
          </c:cat>
          <c:val>
            <c:numRef>
              <c:f>'21.'!$B$3:$B$42</c:f>
              <c:numCache>
                <c:formatCode>_-\ #\ ##0.00_-;\-* #\ ##0.00_-;_-* "-"??_-;_-@_-</c:formatCode>
                <c:ptCount val="40"/>
                <c:pt idx="0">
                  <c:v>47.989896863818103</c:v>
                </c:pt>
                <c:pt idx="1">
                  <c:v>44.290241503660802</c:v>
                </c:pt>
                <c:pt idx="2">
                  <c:v>38.785504407443703</c:v>
                </c:pt>
                <c:pt idx="3">
                  <c:v>38.515598854720601</c:v>
                </c:pt>
                <c:pt idx="4">
                  <c:v>38.068995921966298</c:v>
                </c:pt>
                <c:pt idx="5">
                  <c:v>37.777518111708297</c:v>
                </c:pt>
                <c:pt idx="6">
                  <c:v>35.148033583738403</c:v>
                </c:pt>
                <c:pt idx="7">
                  <c:v>34.7826086956522</c:v>
                </c:pt>
                <c:pt idx="8">
                  <c:v>34.740735571219197</c:v>
                </c:pt>
                <c:pt idx="9">
                  <c:v>34.596375617792397</c:v>
                </c:pt>
                <c:pt idx="10">
                  <c:v>34.0575385765531</c:v>
                </c:pt>
                <c:pt idx="11">
                  <c:v>31.530755143811302</c:v>
                </c:pt>
                <c:pt idx="12">
                  <c:v>30.455537370430999</c:v>
                </c:pt>
                <c:pt idx="13">
                  <c:v>30.386993359285601</c:v>
                </c:pt>
                <c:pt idx="14">
                  <c:v>29.742719080579899</c:v>
                </c:pt>
                <c:pt idx="15">
                  <c:v>29.044214985438199</c:v>
                </c:pt>
                <c:pt idx="16">
                  <c:v>27.729475748270399</c:v>
                </c:pt>
                <c:pt idx="17">
                  <c:v>27.6</c:v>
                </c:pt>
                <c:pt idx="18">
                  <c:v>26.887308533916801</c:v>
                </c:pt>
                <c:pt idx="19">
                  <c:v>26.719996974167</c:v>
                </c:pt>
                <c:pt idx="20">
                  <c:v>25.549463949700701</c:v>
                </c:pt>
                <c:pt idx="21">
                  <c:v>24.852597098736499</c:v>
                </c:pt>
                <c:pt idx="22">
                  <c:v>23.125</c:v>
                </c:pt>
                <c:pt idx="23">
                  <c:v>22.787874526991601</c:v>
                </c:pt>
                <c:pt idx="24">
                  <c:v>22.1958041958042</c:v>
                </c:pt>
                <c:pt idx="25">
                  <c:v>19.927320386036001</c:v>
                </c:pt>
                <c:pt idx="26">
                  <c:v>18.983459080007801</c:v>
                </c:pt>
                <c:pt idx="27">
                  <c:v>17.869824221615801</c:v>
                </c:pt>
                <c:pt idx="28">
                  <c:v>17.6574977817214</c:v>
                </c:pt>
                <c:pt idx="29">
                  <c:v>14.225129857321299</c:v>
                </c:pt>
                <c:pt idx="30">
                  <c:v>14.1072837233763</c:v>
                </c:pt>
                <c:pt idx="31">
                  <c:v>13.738497753049399</c:v>
                </c:pt>
                <c:pt idx="32">
                  <c:v>9.3115124149999993</c:v>
                </c:pt>
                <c:pt idx="33">
                  <c:v>6.6584558540528</c:v>
                </c:pt>
                <c:pt idx="34">
                  <c:v>4.4259058288114801</c:v>
                </c:pt>
                <c:pt idx="35">
                  <c:v>0</c:v>
                </c:pt>
                <c:pt idx="36">
                  <c:v>0</c:v>
                </c:pt>
                <c:pt idx="37">
                  <c:v>0</c:v>
                </c:pt>
                <c:pt idx="38">
                  <c:v>0</c:v>
                </c:pt>
                <c:pt idx="39">
                  <c:v>0</c:v>
                </c:pt>
              </c:numCache>
            </c:numRef>
          </c:val>
          <c:extLst>
            <c:ext xmlns:c16="http://schemas.microsoft.com/office/drawing/2014/chart" uri="{C3380CC4-5D6E-409C-BE32-E72D297353CC}">
              <c16:uniqueId val="{00000032-23A2-4193-965A-A1F4BF664C2F}"/>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'21.'!$C$2</c:f>
              <c:strCache>
                <c:ptCount val="1"/>
                <c:pt idx="0">
                  <c:v>2018</c:v>
                </c:pt>
              </c:strCache>
            </c:strRef>
          </c:tx>
          <c:spPr>
            <a:ln w="28575" cap="rnd">
              <a:noFill/>
              <a:round/>
            </a:ln>
            <a:effectLst/>
          </c:spPr>
          <c:marker>
            <c:symbol val="triangle"/>
            <c:size val="7"/>
            <c:spPr>
              <a:solidFill>
                <a:srgbClr val="FFFF00"/>
              </a:solidFill>
              <a:ln w="9525">
                <a:solidFill>
                  <a:srgbClr val="FFFF00"/>
                </a:solidFill>
              </a:ln>
              <a:effectLst/>
            </c:spPr>
          </c:marker>
          <c:cat>
            <c:strRef>
              <c:f>'21.'!$A$3:$A$42</c:f>
              <c:strCache>
                <c:ptCount val="40"/>
                <c:pt idx="0">
                  <c:v>EL</c:v>
                </c:pt>
                <c:pt idx="1">
                  <c:v>NO</c:v>
                </c:pt>
                <c:pt idx="2">
                  <c:v>CY</c:v>
                </c:pt>
                <c:pt idx="3">
                  <c:v>CH</c:v>
                </c:pt>
                <c:pt idx="4">
                  <c:v>SE</c:v>
                </c:pt>
                <c:pt idx="5">
                  <c:v>FI</c:v>
                </c:pt>
                <c:pt idx="6">
                  <c:v>CZ</c:v>
                </c:pt>
                <c:pt idx="7">
                  <c:v>SI</c:v>
                </c:pt>
                <c:pt idx="8">
                  <c:v>BE</c:v>
                </c:pt>
                <c:pt idx="9">
                  <c:v>HR</c:v>
                </c:pt>
                <c:pt idx="10">
                  <c:v>DE</c:v>
                </c:pt>
                <c:pt idx="11">
                  <c:v>DK</c:v>
                </c:pt>
                <c:pt idx="12">
                  <c:v>LT</c:v>
                </c:pt>
                <c:pt idx="13">
                  <c:v>AT</c:v>
                </c:pt>
                <c:pt idx="14">
                  <c:v>IT</c:v>
                </c:pt>
                <c:pt idx="15">
                  <c:v>IE</c:v>
                </c:pt>
                <c:pt idx="16">
                  <c:v>NL</c:v>
                </c:pt>
                <c:pt idx="17">
                  <c:v>UK</c:v>
                </c:pt>
                <c:pt idx="18">
                  <c:v>EE</c:v>
                </c:pt>
                <c:pt idx="19">
                  <c:v>FR</c:v>
                </c:pt>
                <c:pt idx="20">
                  <c:v>EU27</c:v>
                </c:pt>
                <c:pt idx="21">
                  <c:v>PT</c:v>
                </c:pt>
                <c:pt idx="22">
                  <c:v>LU</c:v>
                </c:pt>
                <c:pt idx="23">
                  <c:v>AL</c:v>
                </c:pt>
                <c:pt idx="24">
                  <c:v>BG</c:v>
                </c:pt>
                <c:pt idx="25">
                  <c:v>HU</c:v>
                </c:pt>
                <c:pt idx="26">
                  <c:v>TR</c:v>
                </c:pt>
                <c:pt idx="27">
                  <c:v>ES</c:v>
                </c:pt>
                <c:pt idx="28">
                  <c:v>MT</c:v>
                </c:pt>
                <c:pt idx="29">
                  <c:v>PL</c:v>
                </c:pt>
                <c:pt idx="30">
                  <c:v>SK</c:v>
                </c:pt>
                <c:pt idx="31">
                  <c:v>LV</c:v>
                </c:pt>
                <c:pt idx="32">
                  <c:v>MD</c:v>
                </c:pt>
                <c:pt idx="33">
                  <c:v>RO</c:v>
                </c:pt>
                <c:pt idx="34">
                  <c:v>UA</c:v>
                </c:pt>
                <c:pt idx="35">
                  <c:v>BA</c:v>
                </c:pt>
                <c:pt idx="36">
                  <c:v>IS</c:v>
                </c:pt>
                <c:pt idx="37">
                  <c:v>ME</c:v>
                </c:pt>
                <c:pt idx="38">
                  <c:v>MK</c:v>
                </c:pt>
                <c:pt idx="39">
                  <c:v>RS</c:v>
                </c:pt>
              </c:strCache>
            </c:strRef>
          </c:cat>
          <c:val>
            <c:numRef>
              <c:f>'21.'!$C$3:$C$42</c:f>
              <c:numCache>
                <c:formatCode>_-\ #\ ##0.00_-;\-* #\ ##0.00_-;_-* "-"??_-;_-@_-</c:formatCode>
                <c:ptCount val="40"/>
                <c:pt idx="0">
                  <c:v>30.158136053148699</c:v>
                </c:pt>
                <c:pt idx="1">
                  <c:v>43.284243162440497</c:v>
                </c:pt>
                <c:pt idx="2">
                  <c:v>18.797431406888499</c:v>
                </c:pt>
                <c:pt idx="3">
                  <c:v>33.490934128987803</c:v>
                </c:pt>
                <c:pt idx="4">
                  <c:v>28.6034998848722</c:v>
                </c:pt>
                <c:pt idx="5">
                  <c:v>41.577589384445297</c:v>
                </c:pt>
                <c:pt idx="6">
                  <c:v>24.0928407976463</c:v>
                </c:pt>
                <c:pt idx="7">
                  <c:v>18.8056206088993</c:v>
                </c:pt>
                <c:pt idx="8">
                  <c:v>34.1577888698503</c:v>
                </c:pt>
                <c:pt idx="9">
                  <c:v>19.420243941073998</c:v>
                </c:pt>
                <c:pt idx="10">
                  <c:v>30.290935285642899</c:v>
                </c:pt>
                <c:pt idx="11">
                  <c:v>23.823146944083199</c:v>
                </c:pt>
                <c:pt idx="12">
                  <c:v>25.607822410148</c:v>
                </c:pt>
                <c:pt idx="13">
                  <c:v>32.774882104740598</c:v>
                </c:pt>
                <c:pt idx="14">
                  <c:v>30.712317357363698</c:v>
                </c:pt>
                <c:pt idx="15">
                  <c:v>27.743208377599</c:v>
                </c:pt>
                <c:pt idx="16">
                  <c:v>35.254551313033701</c:v>
                </c:pt>
                <c:pt idx="17">
                  <c:v>30.211070239971999</c:v>
                </c:pt>
                <c:pt idx="18">
                  <c:v>19.7893569844789</c:v>
                </c:pt>
                <c:pt idx="19">
                  <c:v>26.310866896592</c:v>
                </c:pt>
                <c:pt idx="20">
                  <c:v>24.142977823462001</c:v>
                </c:pt>
                <c:pt idx="21">
                  <c:v>39.378404357577701</c:v>
                </c:pt>
                <c:pt idx="22">
                  <c:v>29.852440408626599</c:v>
                </c:pt>
                <c:pt idx="23">
                  <c:v>0</c:v>
                </c:pt>
                <c:pt idx="24">
                  <c:v>11.9675026492406</c:v>
                </c:pt>
                <c:pt idx="25">
                  <c:v>13.445761166818601</c:v>
                </c:pt>
                <c:pt idx="26">
                  <c:v>31.421407490942201</c:v>
                </c:pt>
                <c:pt idx="27">
                  <c:v>10.339578821830999</c:v>
                </c:pt>
                <c:pt idx="28">
                  <c:v>15.2173913043478</c:v>
                </c:pt>
                <c:pt idx="29">
                  <c:v>8.7311345129274205</c:v>
                </c:pt>
                <c:pt idx="30">
                  <c:v>12.4806528774448</c:v>
                </c:pt>
                <c:pt idx="31">
                  <c:v>12.4195624195624</c:v>
                </c:pt>
                <c:pt idx="32">
                  <c:v>5.9504663879999997</c:v>
                </c:pt>
                <c:pt idx="33">
                  <c:v>3.0330515546203198</c:v>
                </c:pt>
                <c:pt idx="34">
                  <c:v>0</c:v>
                </c:pt>
                <c:pt idx="35">
                  <c:v>0</c:v>
                </c:pt>
                <c:pt idx="36">
                  <c:v>32.537688442211099</c:v>
                </c:pt>
                <c:pt idx="37">
                  <c:v>0</c:v>
                </c:pt>
                <c:pt idx="38">
                  <c:v>15.528157280906401</c:v>
                </c:pt>
                <c:pt idx="39">
                  <c:v>28.805601973422501</c:v>
                </c:pt>
              </c:numCache>
            </c:numRef>
          </c:val>
          <c:smooth val="0"/>
          <c:extLst>
            <c:ext xmlns:c16="http://schemas.microsoft.com/office/drawing/2014/chart" uri="{C3380CC4-5D6E-409C-BE32-E72D297353CC}">
              <c16:uniqueId val="{00000033-23A2-4193-965A-A1F4BF664C2F}"/>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18542354800762806"/>
          <c:h val="6.93680207549696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328382838283828"/>
          <c:y val="2.6745913818722138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'22_1'!$B$2</c:f>
              <c:strCache>
                <c:ptCount val="1"/>
                <c:pt idx="0">
                  <c:v>2024</c:v>
                </c:pt>
              </c:strCache>
            </c:strRef>
          </c:tx>
          <c:spPr>
            <a:solidFill>
              <a:schemeClr val="tx2">
                <a:lumMod val="25000"/>
                <a:lumOff val="75000"/>
              </a:schemeClr>
            </a:solidFill>
            <a:ln>
              <a:solidFill>
                <a:schemeClr val="tx2">
                  <a:lumMod val="25000"/>
                  <a:lumOff val="75000"/>
                </a:schemeClr>
              </a:solidFill>
            </a:ln>
            <a:effectLst/>
          </c:spPr>
          <c:invertIfNegative val="0"/>
          <c:dPt>
            <c:idx val="1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F46F-414F-A101-F690EC4C2C59}"/>
              </c:ext>
            </c:extLst>
          </c:dPt>
          <c:dPt>
            <c:idx val="1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F46F-414F-A101-F690EC4C2C59}"/>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F46F-414F-A101-F690EC4C2C59}"/>
              </c:ext>
            </c:extLst>
          </c:dPt>
          <c:dPt>
            <c:idx val="2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F46F-414F-A101-F690EC4C2C59}"/>
              </c:ext>
            </c:extLst>
          </c:dPt>
          <c:dPt>
            <c:idx val="2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F46F-414F-A101-F690EC4C2C59}"/>
              </c:ext>
            </c:extLst>
          </c:dPt>
          <c:dPt>
            <c:idx val="2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F46F-414F-A101-F690EC4C2C59}"/>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F46F-414F-A101-F690EC4C2C59}"/>
              </c:ext>
            </c:extLst>
          </c:dPt>
          <c:dPt>
            <c:idx val="3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F46F-414F-A101-F690EC4C2C59}"/>
              </c:ext>
            </c:extLst>
          </c:dPt>
          <c:dPt>
            <c:idx val="3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F46F-414F-A101-F690EC4C2C59}"/>
              </c:ext>
            </c:extLst>
          </c:dPt>
          <c:dPt>
            <c:idx val="3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F46F-414F-A101-F690EC4C2C59}"/>
              </c:ext>
            </c:extLst>
          </c:dPt>
          <c:dPt>
            <c:idx val="3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F46F-414F-A101-F690EC4C2C59}"/>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7-F46F-414F-A101-F690EC4C2C59}"/>
              </c:ext>
            </c:extLst>
          </c:dPt>
          <c:dPt>
            <c:idx val="3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9-F46F-414F-A101-F690EC4C2C59}"/>
              </c:ext>
            </c:extLst>
          </c:dPt>
          <c:cat>
            <c:strRef>
              <c:f>'22_1'!$A$3:$A$39</c:f>
              <c:strCache>
                <c:ptCount val="37"/>
                <c:pt idx="0">
                  <c:v>LU</c:v>
                </c:pt>
                <c:pt idx="1">
                  <c:v>IE</c:v>
                </c:pt>
                <c:pt idx="2">
                  <c:v>SE</c:v>
                </c:pt>
                <c:pt idx="3">
                  <c:v>UK</c:v>
                </c:pt>
                <c:pt idx="4">
                  <c:v>CY</c:v>
                </c:pt>
                <c:pt idx="5">
                  <c:v>MT</c:v>
                </c:pt>
                <c:pt idx="6">
                  <c:v>NL</c:v>
                </c:pt>
                <c:pt idx="7">
                  <c:v>CH</c:v>
                </c:pt>
                <c:pt idx="8">
                  <c:v>IS</c:v>
                </c:pt>
                <c:pt idx="9">
                  <c:v>FI</c:v>
                </c:pt>
                <c:pt idx="10">
                  <c:v>BE</c:v>
                </c:pt>
                <c:pt idx="11">
                  <c:v>DK</c:v>
                </c:pt>
                <c:pt idx="12">
                  <c:v>NO</c:v>
                </c:pt>
                <c:pt idx="13">
                  <c:v>EE</c:v>
                </c:pt>
                <c:pt idx="14">
                  <c:v>FR</c:v>
                </c:pt>
                <c:pt idx="15">
                  <c:v>AT</c:v>
                </c:pt>
                <c:pt idx="16">
                  <c:v>DE</c:v>
                </c:pt>
                <c:pt idx="17">
                  <c:v>SI</c:v>
                </c:pt>
                <c:pt idx="18">
                  <c:v>EU</c:v>
                </c:pt>
                <c:pt idx="19">
                  <c:v>IT</c:v>
                </c:pt>
                <c:pt idx="20">
                  <c:v>LT</c:v>
                </c:pt>
                <c:pt idx="21">
                  <c:v>CZ</c:v>
                </c:pt>
                <c:pt idx="22">
                  <c:v>HU</c:v>
                </c:pt>
                <c:pt idx="23">
                  <c:v>ES</c:v>
                </c:pt>
                <c:pt idx="24">
                  <c:v>UA</c:v>
                </c:pt>
                <c:pt idx="25">
                  <c:v>PT</c:v>
                </c:pt>
                <c:pt idx="26">
                  <c:v>LV</c:v>
                </c:pt>
                <c:pt idx="27">
                  <c:v>PL</c:v>
                </c:pt>
                <c:pt idx="28">
                  <c:v>EL</c:v>
                </c:pt>
                <c:pt idx="29">
                  <c:v>HR</c:v>
                </c:pt>
                <c:pt idx="30">
                  <c:v>RS</c:v>
                </c:pt>
                <c:pt idx="31">
                  <c:v>BG</c:v>
                </c:pt>
                <c:pt idx="32">
                  <c:v>SK</c:v>
                </c:pt>
                <c:pt idx="33">
                  <c:v>BA</c:v>
                </c:pt>
                <c:pt idx="34">
                  <c:v>RO</c:v>
                </c:pt>
                <c:pt idx="35">
                  <c:v>TR</c:v>
                </c:pt>
                <c:pt idx="36">
                  <c:v>MD</c:v>
                </c:pt>
              </c:strCache>
            </c:strRef>
          </c:cat>
          <c:val>
            <c:numRef>
              <c:f>'22_1'!$B$3:$B$39</c:f>
              <c:numCache>
                <c:formatCode>_-\ #\ ##0.00_-;\-* #\ ##0.00_-;_-* "-"??_-;_-@_-</c:formatCode>
                <c:ptCount val="37"/>
                <c:pt idx="0">
                  <c:v>27.7</c:v>
                </c:pt>
                <c:pt idx="1">
                  <c:v>23.1</c:v>
                </c:pt>
                <c:pt idx="2">
                  <c:v>22.2</c:v>
                </c:pt>
                <c:pt idx="3">
                  <c:v>21.61</c:v>
                </c:pt>
                <c:pt idx="4">
                  <c:v>21.2</c:v>
                </c:pt>
                <c:pt idx="5">
                  <c:v>20.6</c:v>
                </c:pt>
                <c:pt idx="6">
                  <c:v>20.3</c:v>
                </c:pt>
                <c:pt idx="7">
                  <c:v>20.2</c:v>
                </c:pt>
                <c:pt idx="8">
                  <c:v>18.600000000000001</c:v>
                </c:pt>
                <c:pt idx="9">
                  <c:v>17.899999999999999</c:v>
                </c:pt>
                <c:pt idx="10">
                  <c:v>17.399999999999999</c:v>
                </c:pt>
                <c:pt idx="11">
                  <c:v>16.8</c:v>
                </c:pt>
                <c:pt idx="12">
                  <c:v>16.7</c:v>
                </c:pt>
                <c:pt idx="13">
                  <c:v>16.100000000000001</c:v>
                </c:pt>
                <c:pt idx="14">
                  <c:v>16.100000000000001</c:v>
                </c:pt>
                <c:pt idx="15">
                  <c:v>16</c:v>
                </c:pt>
                <c:pt idx="16">
                  <c:v>15.6</c:v>
                </c:pt>
                <c:pt idx="17">
                  <c:v>15.4</c:v>
                </c:pt>
                <c:pt idx="18">
                  <c:v>15.2</c:v>
                </c:pt>
                <c:pt idx="19">
                  <c:v>15</c:v>
                </c:pt>
                <c:pt idx="20">
                  <c:v>15</c:v>
                </c:pt>
                <c:pt idx="21">
                  <c:v>14.3</c:v>
                </c:pt>
                <c:pt idx="22">
                  <c:v>14</c:v>
                </c:pt>
                <c:pt idx="23">
                  <c:v>13.5</c:v>
                </c:pt>
                <c:pt idx="24">
                  <c:v>13.430186689999999</c:v>
                </c:pt>
                <c:pt idx="25">
                  <c:v>13</c:v>
                </c:pt>
                <c:pt idx="26">
                  <c:v>12.9</c:v>
                </c:pt>
                <c:pt idx="27">
                  <c:v>12.8</c:v>
                </c:pt>
                <c:pt idx="28">
                  <c:v>12.7</c:v>
                </c:pt>
                <c:pt idx="29">
                  <c:v>12.6</c:v>
                </c:pt>
                <c:pt idx="30">
                  <c:v>12.4</c:v>
                </c:pt>
                <c:pt idx="31">
                  <c:v>12.3</c:v>
                </c:pt>
                <c:pt idx="32">
                  <c:v>12.1</c:v>
                </c:pt>
                <c:pt idx="33">
                  <c:v>8.5</c:v>
                </c:pt>
                <c:pt idx="34">
                  <c:v>8.1</c:v>
                </c:pt>
                <c:pt idx="35">
                  <c:v>7.1</c:v>
                </c:pt>
                <c:pt idx="36">
                  <c:v>4.9053032940000003</c:v>
                </c:pt>
              </c:numCache>
            </c:numRef>
          </c:val>
          <c:extLst>
            <c:ext xmlns:c16="http://schemas.microsoft.com/office/drawing/2014/chart" uri="{C3380CC4-5D6E-409C-BE32-E72D297353CC}">
              <c16:uniqueId val="{0000001A-F46F-414F-A101-F690EC4C2C59}"/>
            </c:ext>
          </c:extLst>
        </c:ser>
        <c:dLbls>
          <c:showLegendKey val="0"/>
          <c:showVal val="0"/>
          <c:showCatName val="0"/>
          <c:showSerName val="0"/>
          <c:showPercent val="0"/>
          <c:showBubbleSize val="0"/>
        </c:dLbls>
        <c:gapWidth val="219"/>
        <c:overlap val="-27"/>
        <c:axId val="349408880"/>
        <c:axId val="349403600"/>
      </c:barChart>
      <c:catAx>
        <c:axId val="34940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349403600"/>
        <c:crosses val="autoZero"/>
        <c:auto val="1"/>
        <c:lblAlgn val="ctr"/>
        <c:lblOffset val="100"/>
        <c:noMultiLvlLbl val="0"/>
      </c:catAx>
      <c:valAx>
        <c:axId val="34940360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49408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'23.'!$B$3</c:f>
              <c:strCache>
                <c:ptCount val="1"/>
                <c:pt idx="0">
                  <c:v>2024</c:v>
                </c:pt>
              </c:strCache>
            </c:strRef>
          </c:tx>
          <c:spPr>
            <a:solidFill>
              <a:schemeClr val="tx2">
                <a:lumMod val="25000"/>
                <a:lumOff val="75000"/>
              </a:schemeClr>
            </a:solidFill>
            <a:ln>
              <a:solidFill>
                <a:schemeClr val="tx2">
                  <a:lumMod val="25000"/>
                  <a:lumOff val="75000"/>
                </a:schemeClr>
              </a:solidFill>
            </a:ln>
            <a:effectLst/>
          </c:spPr>
          <c:invertIfNegative val="0"/>
          <c:dPt>
            <c:idx val="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E357-486B-841C-1CB08F1D4F35}"/>
              </c:ext>
            </c:extLst>
          </c:dPt>
          <c:dPt>
            <c:idx val="1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E357-486B-841C-1CB08F1D4F35}"/>
              </c:ext>
            </c:extLst>
          </c:dPt>
          <c:dPt>
            <c:idx val="1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E357-486B-841C-1CB08F1D4F35}"/>
              </c:ext>
            </c:extLst>
          </c:dPt>
          <c:dPt>
            <c:idx val="1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E357-486B-841C-1CB08F1D4F35}"/>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E357-486B-841C-1CB08F1D4F35}"/>
              </c:ext>
            </c:extLst>
          </c:dPt>
          <c:dPt>
            <c:idx val="1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E357-486B-841C-1CB08F1D4F35}"/>
              </c:ext>
            </c:extLst>
          </c:dPt>
          <c:dPt>
            <c:idx val="2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E357-486B-841C-1CB08F1D4F35}"/>
              </c:ext>
            </c:extLst>
          </c:dPt>
          <c:dPt>
            <c:idx val="2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E357-486B-841C-1CB08F1D4F35}"/>
              </c:ext>
            </c:extLst>
          </c:dPt>
          <c:dPt>
            <c:idx val="3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E357-486B-841C-1CB08F1D4F35}"/>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E357-486B-841C-1CB08F1D4F35}"/>
              </c:ext>
            </c:extLst>
          </c:dPt>
          <c:dPt>
            <c:idx val="3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E357-486B-841C-1CB08F1D4F35}"/>
              </c:ext>
            </c:extLst>
          </c:dPt>
          <c:dPt>
            <c:idx val="3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7-E357-486B-841C-1CB08F1D4F35}"/>
              </c:ext>
            </c:extLst>
          </c:dPt>
          <c:cat>
            <c:strRef>
              <c:f>'23.'!$A$4:$A$40</c:f>
              <c:strCache>
                <c:ptCount val="37"/>
                <c:pt idx="0">
                  <c:v>IE</c:v>
                </c:pt>
                <c:pt idx="1">
                  <c:v>AL</c:v>
                </c:pt>
                <c:pt idx="2">
                  <c:v>ES</c:v>
                </c:pt>
                <c:pt idx="3">
                  <c:v>CH</c:v>
                </c:pt>
                <c:pt idx="4">
                  <c:v>EL</c:v>
                </c:pt>
                <c:pt idx="5">
                  <c:v>FI</c:v>
                </c:pt>
                <c:pt idx="6">
                  <c:v>TR</c:v>
                </c:pt>
                <c:pt idx="7">
                  <c:v>BE</c:v>
                </c:pt>
                <c:pt idx="8">
                  <c:v>DK</c:v>
                </c:pt>
                <c:pt idx="9">
                  <c:v>SK</c:v>
                </c:pt>
                <c:pt idx="10">
                  <c:v>PT</c:v>
                </c:pt>
                <c:pt idx="11">
                  <c:v>CZ</c:v>
                </c:pt>
                <c:pt idx="12">
                  <c:v>DE</c:v>
                </c:pt>
                <c:pt idx="13">
                  <c:v>CY</c:v>
                </c:pt>
                <c:pt idx="14">
                  <c:v>IT</c:v>
                </c:pt>
                <c:pt idx="15">
                  <c:v>HR</c:v>
                </c:pt>
                <c:pt idx="16">
                  <c:v>EU</c:v>
                </c:pt>
                <c:pt idx="17">
                  <c:v>AT</c:v>
                </c:pt>
                <c:pt idx="18">
                  <c:v>SE</c:v>
                </c:pt>
                <c:pt idx="19">
                  <c:v>SI</c:v>
                </c:pt>
                <c:pt idx="20">
                  <c:v>LT</c:v>
                </c:pt>
                <c:pt idx="21">
                  <c:v>EE</c:v>
                </c:pt>
                <c:pt idx="22">
                  <c:v>IS</c:v>
                </c:pt>
                <c:pt idx="23">
                  <c:v>NL</c:v>
                </c:pt>
                <c:pt idx="24">
                  <c:v>UK</c:v>
                </c:pt>
                <c:pt idx="25">
                  <c:v>HU</c:v>
                </c:pt>
                <c:pt idx="26">
                  <c:v>PL</c:v>
                </c:pt>
                <c:pt idx="27">
                  <c:v>BG</c:v>
                </c:pt>
                <c:pt idx="28">
                  <c:v>MT</c:v>
                </c:pt>
                <c:pt idx="29">
                  <c:v>LV</c:v>
                </c:pt>
                <c:pt idx="30">
                  <c:v>FR</c:v>
                </c:pt>
                <c:pt idx="31">
                  <c:v>NO</c:v>
                </c:pt>
                <c:pt idx="32">
                  <c:v>RO</c:v>
                </c:pt>
                <c:pt idx="33">
                  <c:v>LU</c:v>
                </c:pt>
                <c:pt idx="34">
                  <c:v>MD</c:v>
                </c:pt>
                <c:pt idx="35">
                  <c:v>UA</c:v>
                </c:pt>
                <c:pt idx="36">
                  <c:v>ME</c:v>
                </c:pt>
              </c:strCache>
            </c:strRef>
          </c:cat>
          <c:val>
            <c:numRef>
              <c:f>'23.'!$B$4:$B$40</c:f>
              <c:numCache>
                <c:formatCode>_-\ #\ ##0.00_-;\-* #\ ##0.00_-;_-* "-"??_-;_-@_-</c:formatCode>
                <c:ptCount val="37"/>
                <c:pt idx="0">
                  <c:v>42.382900750043802</c:v>
                </c:pt>
                <c:pt idx="1">
                  <c:v>40.100768696381699</c:v>
                </c:pt>
                <c:pt idx="2">
                  <c:v>21.736361823659099</c:v>
                </c:pt>
                <c:pt idx="3">
                  <c:v>21.0209916383698</c:v>
                </c:pt>
                <c:pt idx="4">
                  <c:v>20.343782713067998</c:v>
                </c:pt>
                <c:pt idx="5">
                  <c:v>19.328108038771401</c:v>
                </c:pt>
                <c:pt idx="6">
                  <c:v>16.023282388733701</c:v>
                </c:pt>
                <c:pt idx="7">
                  <c:v>15.068510555993299</c:v>
                </c:pt>
                <c:pt idx="8">
                  <c:v>14.9962135712862</c:v>
                </c:pt>
                <c:pt idx="9">
                  <c:v>14.940157686172499</c:v>
                </c:pt>
                <c:pt idx="10">
                  <c:v>14.502341406683399</c:v>
                </c:pt>
                <c:pt idx="11">
                  <c:v>14.430000400062999</c:v>
                </c:pt>
                <c:pt idx="12">
                  <c:v>14.0460417671824</c:v>
                </c:pt>
                <c:pt idx="13">
                  <c:v>13.8037292841456</c:v>
                </c:pt>
                <c:pt idx="14">
                  <c:v>13.479836763319501</c:v>
                </c:pt>
                <c:pt idx="15">
                  <c:v>13.093252724602999</c:v>
                </c:pt>
                <c:pt idx="16">
                  <c:v>13.0477255085229</c:v>
                </c:pt>
                <c:pt idx="17">
                  <c:v>12.986649233266499</c:v>
                </c:pt>
                <c:pt idx="18">
                  <c:v>12.733231182460401</c:v>
                </c:pt>
                <c:pt idx="19">
                  <c:v>12.293410835436999</c:v>
                </c:pt>
                <c:pt idx="20">
                  <c:v>11.5271866401546</c:v>
                </c:pt>
                <c:pt idx="21">
                  <c:v>10.4035264679591</c:v>
                </c:pt>
                <c:pt idx="22">
                  <c:v>10.0025156007805</c:v>
                </c:pt>
                <c:pt idx="23">
                  <c:v>8.9488133130272498</c:v>
                </c:pt>
                <c:pt idx="24">
                  <c:v>8.1999999999999993</c:v>
                </c:pt>
                <c:pt idx="25">
                  <c:v>7.7520340288169898</c:v>
                </c:pt>
                <c:pt idx="26">
                  <c:v>7.5023552808311003</c:v>
                </c:pt>
                <c:pt idx="27">
                  <c:v>7.43552282725397</c:v>
                </c:pt>
                <c:pt idx="28">
                  <c:v>6.5221877156685997</c:v>
                </c:pt>
                <c:pt idx="29">
                  <c:v>6.3466450169983704</c:v>
                </c:pt>
                <c:pt idx="30">
                  <c:v>6.2123324913120799</c:v>
                </c:pt>
                <c:pt idx="31">
                  <c:v>6.0283553949386297</c:v>
                </c:pt>
                <c:pt idx="32">
                  <c:v>5.2424797201745204</c:v>
                </c:pt>
                <c:pt idx="33">
                  <c:v>3.7514454232722501</c:v>
                </c:pt>
                <c:pt idx="34">
                  <c:v>1.600547401</c:v>
                </c:pt>
                <c:pt idx="35">
                  <c:v>1.1000000000000001</c:v>
                </c:pt>
                <c:pt idx="36">
                  <c:v>0.71656051883334304</c:v>
                </c:pt>
              </c:numCache>
            </c:numRef>
          </c:val>
          <c:extLst>
            <c:ext xmlns:c16="http://schemas.microsoft.com/office/drawing/2014/chart" uri="{C3380CC4-5D6E-409C-BE32-E72D297353CC}">
              <c16:uniqueId val="{00000018-E357-486B-841C-1CB08F1D4F35}"/>
            </c:ext>
          </c:extLst>
        </c:ser>
        <c:dLbls>
          <c:showLegendKey val="0"/>
          <c:showVal val="0"/>
          <c:showCatName val="0"/>
          <c:showSerName val="0"/>
          <c:showPercent val="0"/>
          <c:showBubbleSize val="0"/>
        </c:dLbls>
        <c:gapWidth val="219"/>
        <c:overlap val="-27"/>
        <c:axId val="349408880"/>
        <c:axId val="349403600"/>
      </c:barChart>
      <c:catAx>
        <c:axId val="34940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349403600"/>
        <c:crosses val="autoZero"/>
        <c:auto val="1"/>
        <c:lblAlgn val="ctr"/>
        <c:lblOffset val="100"/>
        <c:noMultiLvlLbl val="0"/>
      </c:catAx>
      <c:valAx>
        <c:axId val="34940360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49408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'24.'!$B$3</c:f>
              <c:strCache>
                <c:ptCount val="1"/>
                <c:pt idx="0">
                  <c:v>2024</c:v>
                </c:pt>
              </c:strCache>
            </c:strRef>
          </c:tx>
          <c:spPr>
            <a:solidFill>
              <a:schemeClr val="tx2">
                <a:lumMod val="25000"/>
                <a:lumOff val="75000"/>
              </a:schemeClr>
            </a:solidFill>
            <a:ln w="25400">
              <a:solidFill>
                <a:schemeClr val="tx2">
                  <a:lumMod val="25000"/>
                  <a:lumOff val="75000"/>
                </a:schemeClr>
              </a:solidFill>
            </a:ln>
            <a:effectLst/>
          </c:spPr>
          <c:invertIfNegative val="0"/>
          <c:dPt>
            <c:idx val="3"/>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1-772C-4836-8941-53AE99640877}"/>
              </c:ext>
            </c:extLst>
          </c:dPt>
          <c:dPt>
            <c:idx val="5"/>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3-772C-4836-8941-53AE99640877}"/>
              </c:ext>
            </c:extLst>
          </c:dPt>
          <c:dPt>
            <c:idx val="6"/>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5-772C-4836-8941-53AE99640877}"/>
              </c:ext>
            </c:extLst>
          </c:dPt>
          <c:dPt>
            <c:idx val="8"/>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7-772C-4836-8941-53AE99640877}"/>
              </c:ext>
            </c:extLst>
          </c:dPt>
          <c:dPt>
            <c:idx val="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9-772C-4836-8941-53AE99640877}"/>
              </c:ext>
            </c:extLst>
          </c:dPt>
          <c:dPt>
            <c:idx val="11"/>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0B-772C-4836-8941-53AE99640877}"/>
              </c:ext>
            </c:extLst>
          </c:dPt>
          <c:dPt>
            <c:idx val="12"/>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D-772C-4836-8941-53AE99640877}"/>
              </c:ext>
            </c:extLst>
          </c:dPt>
          <c:dPt>
            <c:idx val="13"/>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0F-772C-4836-8941-53AE99640877}"/>
              </c:ext>
            </c:extLst>
          </c:dPt>
          <c:dPt>
            <c:idx val="14"/>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1-772C-4836-8941-53AE99640877}"/>
              </c:ext>
            </c:extLst>
          </c:dPt>
          <c:dPt>
            <c:idx val="17"/>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3-772C-4836-8941-53AE99640877}"/>
              </c:ext>
            </c:extLst>
          </c:dPt>
          <c:dPt>
            <c:idx val="1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5-772C-4836-8941-53AE99640877}"/>
              </c:ext>
            </c:extLst>
          </c:dPt>
          <c:dPt>
            <c:idx val="19"/>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7-772C-4836-8941-53AE99640877}"/>
              </c:ext>
            </c:extLst>
          </c:dPt>
          <c:dPt>
            <c:idx val="21"/>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9-772C-4836-8941-53AE99640877}"/>
              </c:ext>
            </c:extLst>
          </c:dPt>
          <c:dPt>
            <c:idx val="2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B-772C-4836-8941-53AE99640877}"/>
              </c:ext>
            </c:extLst>
          </c:dPt>
          <c:dPt>
            <c:idx val="23"/>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1D-772C-4836-8941-53AE99640877}"/>
              </c:ext>
            </c:extLst>
          </c:dPt>
          <c:dPt>
            <c:idx val="24"/>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1F-772C-4836-8941-53AE99640877}"/>
              </c:ext>
            </c:extLst>
          </c:dPt>
          <c:dPt>
            <c:idx val="25"/>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1-772C-4836-8941-53AE99640877}"/>
              </c:ext>
            </c:extLst>
          </c:dPt>
          <c:dPt>
            <c:idx val="27"/>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3-772C-4836-8941-53AE99640877}"/>
              </c:ext>
            </c:extLst>
          </c:dPt>
          <c:dPt>
            <c:idx val="2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5-772C-4836-8941-53AE99640877}"/>
              </c:ext>
            </c:extLst>
          </c:dPt>
          <c:dPt>
            <c:idx val="29"/>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7-772C-4836-8941-53AE99640877}"/>
              </c:ext>
            </c:extLst>
          </c:dPt>
          <c:dPt>
            <c:idx val="30"/>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9-772C-4836-8941-53AE99640877}"/>
              </c:ext>
            </c:extLst>
          </c:dPt>
          <c:dPt>
            <c:idx val="31"/>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B-772C-4836-8941-53AE99640877}"/>
              </c:ext>
            </c:extLst>
          </c:dPt>
          <c:dPt>
            <c:idx val="32"/>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2D-772C-4836-8941-53AE99640877}"/>
              </c:ext>
            </c:extLst>
          </c:dPt>
          <c:dPt>
            <c:idx val="33"/>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2F-772C-4836-8941-53AE99640877}"/>
              </c:ext>
            </c:extLst>
          </c:dPt>
          <c:dPt>
            <c:idx val="35"/>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31-772C-4836-8941-53AE99640877}"/>
              </c:ext>
            </c:extLst>
          </c:dPt>
          <c:dPt>
            <c:idx val="36"/>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33-772C-4836-8941-53AE99640877}"/>
              </c:ext>
            </c:extLst>
          </c:dPt>
          <c:dPt>
            <c:idx val="37"/>
            <c:invertIfNegative val="0"/>
            <c:bubble3D val="0"/>
            <c:spPr>
              <a:solidFill>
                <a:schemeClr val="tx2">
                  <a:lumMod val="25000"/>
                  <a:lumOff val="75000"/>
                </a:schemeClr>
              </a:solidFill>
              <a:ln w="25400">
                <a:solidFill>
                  <a:schemeClr val="tx2">
                    <a:lumMod val="25000"/>
                    <a:lumOff val="75000"/>
                  </a:schemeClr>
                </a:solidFill>
              </a:ln>
              <a:effectLst/>
            </c:spPr>
            <c:extLst>
              <c:ext xmlns:c16="http://schemas.microsoft.com/office/drawing/2014/chart" uri="{C3380CC4-5D6E-409C-BE32-E72D297353CC}">
                <c16:uniqueId val="{00000035-772C-4836-8941-53AE99640877}"/>
              </c:ext>
            </c:extLst>
          </c:dPt>
          <c:dPt>
            <c:idx val="38"/>
            <c:invertIfNegative val="0"/>
            <c:bubble3D val="0"/>
            <c:spPr>
              <a:solidFill>
                <a:schemeClr val="accent1"/>
              </a:solidFill>
              <a:ln w="25400">
                <a:solidFill>
                  <a:schemeClr val="accent1"/>
                </a:solidFill>
              </a:ln>
              <a:effectLst/>
            </c:spPr>
            <c:extLst>
              <c:ext xmlns:c16="http://schemas.microsoft.com/office/drawing/2014/chart" uri="{C3380CC4-5D6E-409C-BE32-E72D297353CC}">
                <c16:uniqueId val="{00000037-772C-4836-8941-53AE99640877}"/>
              </c:ext>
            </c:extLst>
          </c:dPt>
          <c:cat>
            <c:strRef>
              <c:f>'24.'!$A$4:$A$43</c:f>
              <c:strCache>
                <c:ptCount val="40"/>
                <c:pt idx="0">
                  <c:v>IE</c:v>
                </c:pt>
                <c:pt idx="1">
                  <c:v>LU</c:v>
                </c:pt>
                <c:pt idx="2">
                  <c:v>CY</c:v>
                </c:pt>
                <c:pt idx="3">
                  <c:v>UK</c:v>
                </c:pt>
                <c:pt idx="4">
                  <c:v>FI</c:v>
                </c:pt>
                <c:pt idx="5">
                  <c:v>SE</c:v>
                </c:pt>
                <c:pt idx="6">
                  <c:v>DK</c:v>
                </c:pt>
                <c:pt idx="7">
                  <c:v>NO</c:v>
                </c:pt>
                <c:pt idx="8">
                  <c:v>NL</c:v>
                </c:pt>
                <c:pt idx="9">
                  <c:v>DE</c:v>
                </c:pt>
                <c:pt idx="10">
                  <c:v>BE</c:v>
                </c:pt>
                <c:pt idx="11">
                  <c:v>UA</c:v>
                </c:pt>
                <c:pt idx="12">
                  <c:v>CH</c:v>
                </c:pt>
                <c:pt idx="13">
                  <c:v>FR</c:v>
                </c:pt>
                <c:pt idx="14">
                  <c:v>EE</c:v>
                </c:pt>
                <c:pt idx="15">
                  <c:v>EL</c:v>
                </c:pt>
                <c:pt idx="16">
                  <c:v>LV</c:v>
                </c:pt>
                <c:pt idx="17">
                  <c:v>HU</c:v>
                </c:pt>
                <c:pt idx="18">
                  <c:v>BG</c:v>
                </c:pt>
                <c:pt idx="19">
                  <c:v>RS</c:v>
                </c:pt>
                <c:pt idx="20">
                  <c:v>IT</c:v>
                </c:pt>
                <c:pt idx="21">
                  <c:v>RO</c:v>
                </c:pt>
                <c:pt idx="22">
                  <c:v>CZ</c:v>
                </c:pt>
                <c:pt idx="23">
                  <c:v>AT</c:v>
                </c:pt>
                <c:pt idx="24">
                  <c:v>IS</c:v>
                </c:pt>
                <c:pt idx="25">
                  <c:v>PL</c:v>
                </c:pt>
                <c:pt idx="26">
                  <c:v>TR</c:v>
                </c:pt>
                <c:pt idx="27">
                  <c:v>MK</c:v>
                </c:pt>
                <c:pt idx="28">
                  <c:v>SK</c:v>
                </c:pt>
                <c:pt idx="29">
                  <c:v>MT</c:v>
                </c:pt>
                <c:pt idx="30">
                  <c:v>SI</c:v>
                </c:pt>
                <c:pt idx="31">
                  <c:v>PT</c:v>
                </c:pt>
                <c:pt idx="32">
                  <c:v>MD</c:v>
                </c:pt>
                <c:pt idx="33">
                  <c:v>LT</c:v>
                </c:pt>
                <c:pt idx="34">
                  <c:v>ES</c:v>
                </c:pt>
                <c:pt idx="35">
                  <c:v>HR</c:v>
                </c:pt>
                <c:pt idx="36">
                  <c:v>ME</c:v>
                </c:pt>
                <c:pt idx="37">
                  <c:v>AL</c:v>
                </c:pt>
                <c:pt idx="38">
                  <c:v>BA</c:v>
                </c:pt>
                <c:pt idx="39">
                  <c:v>EU</c:v>
                </c:pt>
              </c:strCache>
            </c:strRef>
          </c:cat>
          <c:val>
            <c:numRef>
              <c:f>'24.'!$B$4:$B$43</c:f>
              <c:numCache>
                <c:formatCode>_-\ #\ ##0.00_-;\-* #\ ##0.00_-;_-* "-"??_-;_-@_-</c:formatCode>
                <c:ptCount val="40"/>
                <c:pt idx="0">
                  <c:v>93.186899999999994</c:v>
                </c:pt>
                <c:pt idx="1">
                  <c:v>84.267200000000003</c:v>
                </c:pt>
                <c:pt idx="2">
                  <c:v>83.189099999999996</c:v>
                </c:pt>
                <c:pt idx="3">
                  <c:v>81.714200000000005</c:v>
                </c:pt>
                <c:pt idx="4">
                  <c:v>80.791300000000007</c:v>
                </c:pt>
                <c:pt idx="5">
                  <c:v>79.058499999999995</c:v>
                </c:pt>
                <c:pt idx="6">
                  <c:v>78.714600000000004</c:v>
                </c:pt>
                <c:pt idx="7">
                  <c:v>77.651200000000003</c:v>
                </c:pt>
                <c:pt idx="8">
                  <c:v>77.060500000000005</c:v>
                </c:pt>
                <c:pt idx="9">
                  <c:v>74.627899999999997</c:v>
                </c:pt>
                <c:pt idx="10">
                  <c:v>73.238399999999999</c:v>
                </c:pt>
                <c:pt idx="11">
                  <c:v>68.955799999999996</c:v>
                </c:pt>
                <c:pt idx="12">
                  <c:v>68.469399999999993</c:v>
                </c:pt>
                <c:pt idx="13">
                  <c:v>65.802899999999994</c:v>
                </c:pt>
                <c:pt idx="14">
                  <c:v>65.097499999999997</c:v>
                </c:pt>
                <c:pt idx="15">
                  <c:v>58.8324</c:v>
                </c:pt>
                <c:pt idx="16">
                  <c:v>58.7014</c:v>
                </c:pt>
                <c:pt idx="17">
                  <c:v>56.505600000000001</c:v>
                </c:pt>
                <c:pt idx="18">
                  <c:v>54.309699999999999</c:v>
                </c:pt>
                <c:pt idx="19">
                  <c:v>52.032299999999999</c:v>
                </c:pt>
                <c:pt idx="20">
                  <c:v>51.7395</c:v>
                </c:pt>
                <c:pt idx="21">
                  <c:v>51.652000000000001</c:v>
                </c:pt>
                <c:pt idx="22">
                  <c:v>50.479399999999998</c:v>
                </c:pt>
                <c:pt idx="23">
                  <c:v>48.378900000000002</c:v>
                </c:pt>
                <c:pt idx="24">
                  <c:v>47.759099999999997</c:v>
                </c:pt>
                <c:pt idx="25">
                  <c:v>46.8703</c:v>
                </c:pt>
                <c:pt idx="26">
                  <c:v>43.814599999999999</c:v>
                </c:pt>
                <c:pt idx="27">
                  <c:v>42.568800000000003</c:v>
                </c:pt>
                <c:pt idx="28">
                  <c:v>41.640500000000003</c:v>
                </c:pt>
                <c:pt idx="29">
                  <c:v>41.615499999999997</c:v>
                </c:pt>
                <c:pt idx="30">
                  <c:v>39.372300000000003</c:v>
                </c:pt>
                <c:pt idx="31">
                  <c:v>39.170900000000003</c:v>
                </c:pt>
                <c:pt idx="32">
                  <c:v>38.314500000000002</c:v>
                </c:pt>
                <c:pt idx="33">
                  <c:v>36.639699999999998</c:v>
                </c:pt>
                <c:pt idx="34">
                  <c:v>36.466900000000003</c:v>
                </c:pt>
                <c:pt idx="35">
                  <c:v>23.097100000000001</c:v>
                </c:pt>
                <c:pt idx="36">
                  <c:v>23.046900000000001</c:v>
                </c:pt>
                <c:pt idx="37">
                  <c:v>18.516400000000001</c:v>
                </c:pt>
                <c:pt idx="38">
                  <c:v>18.466200000000001</c:v>
                </c:pt>
              </c:numCache>
            </c:numRef>
          </c:val>
          <c:extLst>
            <c:ext xmlns:c16="http://schemas.microsoft.com/office/drawing/2014/chart" uri="{C3380CC4-5D6E-409C-BE32-E72D297353CC}">
              <c16:uniqueId val="{00000038-772C-4836-8941-53AE99640877}"/>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'24.'!$C$3</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'24.'!$A$4:$A$43</c:f>
              <c:strCache>
                <c:ptCount val="40"/>
                <c:pt idx="0">
                  <c:v>IE</c:v>
                </c:pt>
                <c:pt idx="1">
                  <c:v>LU</c:v>
                </c:pt>
                <c:pt idx="2">
                  <c:v>CY</c:v>
                </c:pt>
                <c:pt idx="3">
                  <c:v>UK</c:v>
                </c:pt>
                <c:pt idx="4">
                  <c:v>FI</c:v>
                </c:pt>
                <c:pt idx="5">
                  <c:v>SE</c:v>
                </c:pt>
                <c:pt idx="6">
                  <c:v>DK</c:v>
                </c:pt>
                <c:pt idx="7">
                  <c:v>NO</c:v>
                </c:pt>
                <c:pt idx="8">
                  <c:v>NL</c:v>
                </c:pt>
                <c:pt idx="9">
                  <c:v>DE</c:v>
                </c:pt>
                <c:pt idx="10">
                  <c:v>BE</c:v>
                </c:pt>
                <c:pt idx="11">
                  <c:v>UA</c:v>
                </c:pt>
                <c:pt idx="12">
                  <c:v>CH</c:v>
                </c:pt>
                <c:pt idx="13">
                  <c:v>FR</c:v>
                </c:pt>
                <c:pt idx="14">
                  <c:v>EE</c:v>
                </c:pt>
                <c:pt idx="15">
                  <c:v>EL</c:v>
                </c:pt>
                <c:pt idx="16">
                  <c:v>LV</c:v>
                </c:pt>
                <c:pt idx="17">
                  <c:v>HU</c:v>
                </c:pt>
                <c:pt idx="18">
                  <c:v>BG</c:v>
                </c:pt>
                <c:pt idx="19">
                  <c:v>RS</c:v>
                </c:pt>
                <c:pt idx="20">
                  <c:v>IT</c:v>
                </c:pt>
                <c:pt idx="21">
                  <c:v>RO</c:v>
                </c:pt>
                <c:pt idx="22">
                  <c:v>CZ</c:v>
                </c:pt>
                <c:pt idx="23">
                  <c:v>AT</c:v>
                </c:pt>
                <c:pt idx="24">
                  <c:v>IS</c:v>
                </c:pt>
                <c:pt idx="25">
                  <c:v>PL</c:v>
                </c:pt>
                <c:pt idx="26">
                  <c:v>TR</c:v>
                </c:pt>
                <c:pt idx="27">
                  <c:v>MK</c:v>
                </c:pt>
                <c:pt idx="28">
                  <c:v>SK</c:v>
                </c:pt>
                <c:pt idx="29">
                  <c:v>MT</c:v>
                </c:pt>
                <c:pt idx="30">
                  <c:v>SI</c:v>
                </c:pt>
                <c:pt idx="31">
                  <c:v>PT</c:v>
                </c:pt>
                <c:pt idx="32">
                  <c:v>MD</c:v>
                </c:pt>
                <c:pt idx="33">
                  <c:v>LT</c:v>
                </c:pt>
                <c:pt idx="34">
                  <c:v>ES</c:v>
                </c:pt>
                <c:pt idx="35">
                  <c:v>HR</c:v>
                </c:pt>
                <c:pt idx="36">
                  <c:v>ME</c:v>
                </c:pt>
                <c:pt idx="37">
                  <c:v>AL</c:v>
                </c:pt>
                <c:pt idx="38">
                  <c:v>BA</c:v>
                </c:pt>
                <c:pt idx="39">
                  <c:v>EU</c:v>
                </c:pt>
              </c:strCache>
            </c:strRef>
          </c:cat>
          <c:val>
            <c:numRef>
              <c:f>'24.'!$C$4:$C$43</c:f>
              <c:numCache>
                <c:formatCode>_-\ #\ ##0.00_-;\-* #\ ##0.00_-;_-* "-"??_-;_-@_-</c:formatCode>
                <c:ptCount val="40"/>
                <c:pt idx="0">
                  <c:v>92.343500000000006</c:v>
                </c:pt>
                <c:pt idx="1">
                  <c:v>90.296199999999999</c:v>
                </c:pt>
                <c:pt idx="2">
                  <c:v>73.548000000000002</c:v>
                </c:pt>
                <c:pt idx="3">
                  <c:v>80.083600000000004</c:v>
                </c:pt>
                <c:pt idx="4">
                  <c:v>77.043899999999994</c:v>
                </c:pt>
                <c:pt idx="5">
                  <c:v>75.167500000000004</c:v>
                </c:pt>
                <c:pt idx="6">
                  <c:v>74.743700000000004</c:v>
                </c:pt>
                <c:pt idx="7">
                  <c:v>78.801000000000002</c:v>
                </c:pt>
                <c:pt idx="8">
                  <c:v>78.680099999999996</c:v>
                </c:pt>
                <c:pt idx="9">
                  <c:v>74.802599999999998</c:v>
                </c:pt>
                <c:pt idx="10">
                  <c:v>69.819400000000002</c:v>
                </c:pt>
                <c:pt idx="11">
                  <c:v>46.680599999999998</c:v>
                </c:pt>
                <c:pt idx="12">
                  <c:v>70.153499999999994</c:v>
                </c:pt>
                <c:pt idx="13">
                  <c:v>63.053800000000003</c:v>
                </c:pt>
                <c:pt idx="14">
                  <c:v>46.741799999999998</c:v>
                </c:pt>
                <c:pt idx="15">
                  <c:v>50.989800000000002</c:v>
                </c:pt>
                <c:pt idx="16">
                  <c:v>50.548900000000003</c:v>
                </c:pt>
                <c:pt idx="17">
                  <c:v>49.0366</c:v>
                </c:pt>
                <c:pt idx="18">
                  <c:v>43.334899999999998</c:v>
                </c:pt>
                <c:pt idx="19">
                  <c:v>42.051400000000001</c:v>
                </c:pt>
                <c:pt idx="20">
                  <c:v>50.489800000000002</c:v>
                </c:pt>
                <c:pt idx="21">
                  <c:v>44.044600000000003</c:v>
                </c:pt>
                <c:pt idx="22">
                  <c:v>41.639299999999999</c:v>
                </c:pt>
                <c:pt idx="23">
                  <c:v>44.131300000000003</c:v>
                </c:pt>
                <c:pt idx="24">
                  <c:v>56.927500000000002</c:v>
                </c:pt>
                <c:pt idx="25">
                  <c:v>39.925699999999999</c:v>
                </c:pt>
                <c:pt idx="26">
                  <c:v>37.558700000000002</c:v>
                </c:pt>
                <c:pt idx="27">
                  <c:v>25.316800000000001</c:v>
                </c:pt>
                <c:pt idx="28">
                  <c:v>34.388800000000003</c:v>
                </c:pt>
                <c:pt idx="29">
                  <c:v>54.697200000000002</c:v>
                </c:pt>
                <c:pt idx="30">
                  <c:v>35.749299999999998</c:v>
                </c:pt>
                <c:pt idx="31">
                  <c:v>41.939700000000002</c:v>
                </c:pt>
                <c:pt idx="32">
                  <c:v>37.591200000000001</c:v>
                </c:pt>
                <c:pt idx="33">
                  <c:v>21.9787</c:v>
                </c:pt>
                <c:pt idx="34">
                  <c:v>31.449100000000001</c:v>
                </c:pt>
                <c:pt idx="35">
                  <c:v>20.337900000000001</c:v>
                </c:pt>
                <c:pt idx="36">
                  <c:v>19.570599999999999</c:v>
                </c:pt>
                <c:pt idx="37">
                  <c:v>17.0566</c:v>
                </c:pt>
                <c:pt idx="38">
                  <c:v>13.9062</c:v>
                </c:pt>
                <c:pt idx="39">
                  <c:v>72.735483919876202</c:v>
                </c:pt>
              </c:numCache>
            </c:numRef>
          </c:val>
          <c:smooth val="0"/>
          <c:extLst>
            <c:ext xmlns:c16="http://schemas.microsoft.com/office/drawing/2014/chart" uri="{C3380CC4-5D6E-409C-BE32-E72D297353CC}">
              <c16:uniqueId val="{00000039-772C-4836-8941-53AE99640877}"/>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_-\ #\ ##0.00_-;\-* #\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18542354800762806"/>
          <c:h val="6.93680207549696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64303722066239544"/>
        </c:manualLayout>
      </c:layout>
      <c:barChart>
        <c:barDir val="col"/>
        <c:grouping val="clustered"/>
        <c:varyColors val="0"/>
        <c:ser>
          <c:idx val="0"/>
          <c:order val="0"/>
          <c:tx>
            <c:strRef>
              <c:f>'3.'!$B$2</c:f>
              <c:strCache>
                <c:ptCount val="1"/>
                <c:pt idx="0">
                  <c:v>2023</c:v>
                </c:pt>
              </c:strCache>
            </c:strRef>
          </c:tx>
          <c:spPr>
            <a:solidFill>
              <a:schemeClr val="accent1"/>
            </a:solidFill>
            <a:ln>
              <a:noFill/>
            </a:ln>
            <a:effectLst/>
          </c:spPr>
          <c:invertIfNegative val="0"/>
          <c:cat>
            <c:strRef>
              <c:f>'3.'!$A$3:$A$59</c:f>
              <c:strCache>
                <c:ptCount val="57"/>
                <c:pt idx="0">
                  <c:v>DE21 Oberbayern</c:v>
                </c:pt>
                <c:pt idx="1">
                  <c:v>DE12 Karlsruhe</c:v>
                </c:pt>
                <c:pt idx="2">
                  <c:v>DE14 Tübingen</c:v>
                </c:pt>
                <c:pt idx="3">
                  <c:v>DE25 Mittelfranken</c:v>
                </c:pt>
                <c:pt idx="4">
                  <c:v>CZ01 Praha</c:v>
                </c:pt>
                <c:pt idx="5">
                  <c:v>DE11 Stuttgart</c:v>
                </c:pt>
                <c:pt idx="6">
                  <c:v>AT1 Ostösterreich</c:v>
                </c:pt>
                <c:pt idx="7">
                  <c:v>DE13 Freiburg</c:v>
                </c:pt>
                <c:pt idx="8">
                  <c:v>AT2 Südösterreich</c:v>
                </c:pt>
                <c:pt idx="9">
                  <c:v>AT3 Westösterreich</c:v>
                </c:pt>
                <c:pt idx="10">
                  <c:v>DE26 Unterfranken</c:v>
                </c:pt>
                <c:pt idx="11">
                  <c:v>DE23 Oberpfalz</c:v>
                </c:pt>
                <c:pt idx="12">
                  <c:v>DE24 Oberfranken</c:v>
                </c:pt>
                <c:pt idx="13">
                  <c:v>DE27 Schwaben</c:v>
                </c:pt>
                <c:pt idx="14">
                  <c:v>SI04 Zahodna Slovenija</c:v>
                </c:pt>
                <c:pt idx="15">
                  <c:v>HR05 Grad Zagreb</c:v>
                </c:pt>
                <c:pt idx="16">
                  <c:v>HU11 Budapest</c:v>
                </c:pt>
                <c:pt idx="17">
                  <c:v>CZ06 Jihovýchod</c:v>
                </c:pt>
                <c:pt idx="18">
                  <c:v>DE22 Niederbayern</c:v>
                </c:pt>
                <c:pt idx="19">
                  <c:v>SK01 Bratislavský kraj</c:v>
                </c:pt>
                <c:pt idx="20">
                  <c:v>CZ02 Strední Cechy</c:v>
                </c:pt>
                <c:pt idx="21">
                  <c:v>CZ05 Severovýchod</c:v>
                </c:pt>
                <c:pt idx="22">
                  <c:v>CZ07 Strední Morava</c:v>
                </c:pt>
                <c:pt idx="23">
                  <c:v>CZ08 Moravskoslezsko</c:v>
                </c:pt>
                <c:pt idx="24">
                  <c:v>SI03 Vzhodna Slovenija</c:v>
                </c:pt>
                <c:pt idx="25">
                  <c:v>RS11 Beogradski region</c:v>
                </c:pt>
                <c:pt idx="26">
                  <c:v>CZ03 Jihozápad</c:v>
                </c:pt>
                <c:pt idx="27">
                  <c:v>HR06 Sjeverna Hrvatska</c:v>
                </c:pt>
                <c:pt idx="28">
                  <c:v>HU12 Pest</c:v>
                </c:pt>
                <c:pt idx="29">
                  <c:v>HR03 Jadranska Hrvatska</c:v>
                </c:pt>
                <c:pt idx="30">
                  <c:v>CZ04 Severozápad</c:v>
                </c:pt>
                <c:pt idx="31">
                  <c:v>RS12 Region Vojvodine</c:v>
                </c:pt>
                <c:pt idx="32">
                  <c:v>SK04 Východné Slovensko</c:v>
                </c:pt>
                <c:pt idx="33">
                  <c:v>SK03 Stredné Slovensko</c:v>
                </c:pt>
                <c:pt idx="34">
                  <c:v>BG41 Yugozapaden</c:v>
                </c:pt>
                <c:pt idx="35">
                  <c:v>HR02 Panonska Hrvatska</c:v>
                </c:pt>
                <c:pt idx="36">
                  <c:v>HU21 Közép-Dunántúl</c:v>
                </c:pt>
                <c:pt idx="37">
                  <c:v>HU22 Nyugat-Dunántúl</c:v>
                </c:pt>
                <c:pt idx="38">
                  <c:v>RO32 Bucuresti - Ilfov</c:v>
                </c:pt>
                <c:pt idx="39">
                  <c:v>HU33 Dél-Alföld</c:v>
                </c:pt>
                <c:pt idx="40">
                  <c:v>HU31 Észak-Magyarország</c:v>
                </c:pt>
                <c:pt idx="41">
                  <c:v>HU23 Dél-Dunántúl</c:v>
                </c:pt>
                <c:pt idx="42">
                  <c:v>SK02 Západné Slovensko</c:v>
                </c:pt>
                <c:pt idx="43">
                  <c:v>HU32 Észak-Alföld</c:v>
                </c:pt>
                <c:pt idx="44">
                  <c:v>RS21 Region Sumadije i Zapadne Srbije</c:v>
                </c:pt>
                <c:pt idx="45">
                  <c:v>BG42 Yuzhen tsentralen</c:v>
                </c:pt>
                <c:pt idx="46">
                  <c:v>BG32 Severen tsentralen</c:v>
                </c:pt>
                <c:pt idx="47">
                  <c:v>BG33 Severoiztochen</c:v>
                </c:pt>
                <c:pt idx="48">
                  <c:v>RO21 Nord-Est</c:v>
                </c:pt>
                <c:pt idx="49">
                  <c:v>RO11 Nord-Vest</c:v>
                </c:pt>
                <c:pt idx="50">
                  <c:v>BG34 Yugoiztochen</c:v>
                </c:pt>
                <c:pt idx="51">
                  <c:v>RO42 Vest</c:v>
                </c:pt>
                <c:pt idx="52">
                  <c:v>BG31 Severozapaden</c:v>
                </c:pt>
                <c:pt idx="53">
                  <c:v>RO12 Centru</c:v>
                </c:pt>
                <c:pt idx="54">
                  <c:v>RO31 Sud - Muntenia</c:v>
                </c:pt>
                <c:pt idx="55">
                  <c:v>RO41 Sud-Vest Oltenia</c:v>
                </c:pt>
                <c:pt idx="56">
                  <c:v>RO22 Sud-Est</c:v>
                </c:pt>
              </c:strCache>
            </c:strRef>
          </c:cat>
          <c:val>
            <c:numRef>
              <c:f>'3.'!$B$3:$B$59</c:f>
              <c:numCache>
                <c:formatCode>0.0</c:formatCode>
                <c:ptCount val="57"/>
                <c:pt idx="0">
                  <c:v>151.46753170959946</c:v>
                </c:pt>
                <c:pt idx="1">
                  <c:v>142.40109818218806</c:v>
                </c:pt>
                <c:pt idx="2">
                  <c:v>130.57026727118205</c:v>
                </c:pt>
                <c:pt idx="3">
                  <c:v>130.16249584121923</c:v>
                </c:pt>
                <c:pt idx="4">
                  <c:v>127.63563685697936</c:v>
                </c:pt>
                <c:pt idx="5">
                  <c:v>126.43899655569375</c:v>
                </c:pt>
                <c:pt idx="6">
                  <c:v>125.66858527024451</c:v>
                </c:pt>
                <c:pt idx="7">
                  <c:v>124.88084282658363</c:v>
                </c:pt>
                <c:pt idx="8">
                  <c:v>116.21137388870288</c:v>
                </c:pt>
                <c:pt idx="9">
                  <c:v>114.7187798633712</c:v>
                </c:pt>
                <c:pt idx="10">
                  <c:v>114.10144647957283</c:v>
                </c:pt>
                <c:pt idx="11">
                  <c:v>112.51205445908673</c:v>
                </c:pt>
                <c:pt idx="12">
                  <c:v>111.55775306342696</c:v>
                </c:pt>
                <c:pt idx="13">
                  <c:v>107.17078268412291</c:v>
                </c:pt>
                <c:pt idx="14">
                  <c:v>105.37918326712217</c:v>
                </c:pt>
                <c:pt idx="15">
                  <c:v>102.80527358729381</c:v>
                </c:pt>
                <c:pt idx="16">
                  <c:v>101.3988404804242</c:v>
                </c:pt>
                <c:pt idx="17">
                  <c:v>101.02540567656851</c:v>
                </c:pt>
                <c:pt idx="18">
                  <c:v>97.049219168117773</c:v>
                </c:pt>
                <c:pt idx="19">
                  <c:v>91.264921197145568</c:v>
                </c:pt>
                <c:pt idx="20">
                  <c:v>88.593395051451225</c:v>
                </c:pt>
                <c:pt idx="21">
                  <c:v>88.400897028717168</c:v>
                </c:pt>
                <c:pt idx="22">
                  <c:v>88.156555467876416</c:v>
                </c:pt>
                <c:pt idx="23">
                  <c:v>86.86008819838716</c:v>
                </c:pt>
                <c:pt idx="24">
                  <c:v>84.885049386158201</c:v>
                </c:pt>
                <c:pt idx="25">
                  <c:v>82.06495454219359</c:v>
                </c:pt>
                <c:pt idx="26">
                  <c:v>80.962222453244095</c:v>
                </c:pt>
                <c:pt idx="27">
                  <c:v>68.120710302952801</c:v>
                </c:pt>
                <c:pt idx="28">
                  <c:v>67.202595726806933</c:v>
                </c:pt>
                <c:pt idx="29">
                  <c:v>66.941154132891654</c:v>
                </c:pt>
                <c:pt idx="30">
                  <c:v>66.030901480335814</c:v>
                </c:pt>
                <c:pt idx="31">
                  <c:v>63.849841358263873</c:v>
                </c:pt>
                <c:pt idx="32">
                  <c:v>62.069344000964094</c:v>
                </c:pt>
                <c:pt idx="33">
                  <c:v>61.722395004825465</c:v>
                </c:pt>
                <c:pt idx="34">
                  <c:v>61.569983128782226</c:v>
                </c:pt>
                <c:pt idx="35">
                  <c:v>60.604361774333476</c:v>
                </c:pt>
                <c:pt idx="36">
                  <c:v>60.581225127537422</c:v>
                </c:pt>
                <c:pt idx="37">
                  <c:v>59.838300417138598</c:v>
                </c:pt>
                <c:pt idx="38">
                  <c:v>59.49972432890889</c:v>
                </c:pt>
                <c:pt idx="39">
                  <c:v>59.360779958522897</c:v>
                </c:pt>
                <c:pt idx="40">
                  <c:v>58.401773806334297</c:v>
                </c:pt>
                <c:pt idx="41">
                  <c:v>57.761928627611269</c:v>
                </c:pt>
                <c:pt idx="42">
                  <c:v>55.974526535359196</c:v>
                </c:pt>
                <c:pt idx="43">
                  <c:v>55.300069517604541</c:v>
                </c:pt>
                <c:pt idx="44">
                  <c:v>48.746635699153586</c:v>
                </c:pt>
                <c:pt idx="45">
                  <c:v>40.102176332996805</c:v>
                </c:pt>
                <c:pt idx="46">
                  <c:v>38.831428348466154</c:v>
                </c:pt>
                <c:pt idx="47">
                  <c:v>36.227666781677051</c:v>
                </c:pt>
                <c:pt idx="48">
                  <c:v>35.829524416443789</c:v>
                </c:pt>
                <c:pt idx="49">
                  <c:v>34.498862717505418</c:v>
                </c:pt>
                <c:pt idx="50">
                  <c:v>33.587661982775359</c:v>
                </c:pt>
                <c:pt idx="51">
                  <c:v>32.611189157799238</c:v>
                </c:pt>
                <c:pt idx="52">
                  <c:v>27.174052367998772</c:v>
                </c:pt>
                <c:pt idx="53">
                  <c:v>25.721681516610914</c:v>
                </c:pt>
                <c:pt idx="54">
                  <c:v>23.016237715375485</c:v>
                </c:pt>
                <c:pt idx="55">
                  <c:v>19.751270605354673</c:v>
                </c:pt>
                <c:pt idx="56">
                  <c:v>18.947571716517228</c:v>
                </c:pt>
              </c:numCache>
            </c:numRef>
          </c:val>
          <c:extLst>
            <c:ext xmlns:c16="http://schemas.microsoft.com/office/drawing/2014/chart" uri="{C3380CC4-5D6E-409C-BE32-E72D297353CC}">
              <c16:uniqueId val="{00000000-3CC4-4022-8D81-9E7D81071C3F}"/>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'3.'!$C$2</c:f>
              <c:strCache>
                <c:ptCount val="1"/>
                <c:pt idx="0">
                  <c:v>2016</c:v>
                </c:pt>
              </c:strCache>
            </c:strRef>
          </c:tx>
          <c:spPr>
            <a:ln w="28575" cap="rnd">
              <a:noFill/>
              <a:round/>
            </a:ln>
            <a:effectLst/>
          </c:spPr>
          <c:marker>
            <c:symbol val="triangle"/>
            <c:size val="7"/>
            <c:spPr>
              <a:solidFill>
                <a:srgbClr val="FFFF00"/>
              </a:solidFill>
              <a:ln w="9525">
                <a:solidFill>
                  <a:srgbClr val="FFFF00"/>
                </a:solidFill>
              </a:ln>
              <a:effectLst/>
            </c:spPr>
          </c:marker>
          <c:dPt>
            <c:idx val="0"/>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2-3CC4-4022-8D81-9E7D81071C3F}"/>
              </c:ext>
            </c:extLst>
          </c:dPt>
          <c:dPt>
            <c:idx val="4"/>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4-3CC4-4022-8D81-9E7D81071C3F}"/>
              </c:ext>
            </c:extLst>
          </c:dPt>
          <c:dPt>
            <c:idx val="6"/>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6-3CC4-4022-8D81-9E7D81071C3F}"/>
              </c:ext>
            </c:extLst>
          </c:dPt>
          <c:dPt>
            <c:idx val="7"/>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8-3CC4-4022-8D81-9E7D81071C3F}"/>
              </c:ext>
            </c:extLst>
          </c:dPt>
          <c:dPt>
            <c:idx val="8"/>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A-3CC4-4022-8D81-9E7D81071C3F}"/>
              </c:ext>
            </c:extLst>
          </c:dPt>
          <c:dPt>
            <c:idx val="13"/>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C-3CC4-4022-8D81-9E7D81071C3F}"/>
              </c:ext>
            </c:extLst>
          </c:dPt>
          <c:dPt>
            <c:idx val="15"/>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0E-3CC4-4022-8D81-9E7D81071C3F}"/>
              </c:ext>
            </c:extLst>
          </c:dPt>
          <c:dPt>
            <c:idx val="21"/>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0-3CC4-4022-8D81-9E7D81071C3F}"/>
              </c:ext>
            </c:extLst>
          </c:dPt>
          <c:dPt>
            <c:idx val="27"/>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2-3CC4-4022-8D81-9E7D81071C3F}"/>
              </c:ext>
            </c:extLst>
          </c:dPt>
          <c:dPt>
            <c:idx val="35"/>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4-3CC4-4022-8D81-9E7D81071C3F}"/>
              </c:ext>
            </c:extLst>
          </c:dPt>
          <c:dPt>
            <c:idx val="36"/>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6-3CC4-4022-8D81-9E7D81071C3F}"/>
              </c:ext>
            </c:extLst>
          </c:dPt>
          <c:dPt>
            <c:idx val="37"/>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8-3CC4-4022-8D81-9E7D81071C3F}"/>
              </c:ext>
            </c:extLst>
          </c:dPt>
          <c:dPt>
            <c:idx val="39"/>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A-3CC4-4022-8D81-9E7D81071C3F}"/>
              </c:ext>
            </c:extLst>
          </c:dPt>
          <c:dPt>
            <c:idx val="43"/>
            <c:marker>
              <c:symbol val="triangle"/>
              <c:size val="7"/>
              <c:spPr>
                <a:solidFill>
                  <a:srgbClr val="FFFF00"/>
                </a:solidFill>
                <a:ln w="9525">
                  <a:solidFill>
                    <a:srgbClr val="FFFF00"/>
                  </a:solidFill>
                </a:ln>
                <a:effectLst/>
              </c:spPr>
            </c:marker>
            <c:bubble3D val="0"/>
            <c:spPr>
              <a:ln w="28575" cap="rnd">
                <a:noFill/>
                <a:round/>
              </a:ln>
              <a:effectLst/>
            </c:spPr>
            <c:extLst>
              <c:ext xmlns:c16="http://schemas.microsoft.com/office/drawing/2014/chart" uri="{C3380CC4-5D6E-409C-BE32-E72D297353CC}">
                <c16:uniqueId val="{0000001C-3CC4-4022-8D81-9E7D81071C3F}"/>
              </c:ext>
            </c:extLst>
          </c:dPt>
          <c:cat>
            <c:strRef>
              <c:f>'3.'!$A$3:$A$59</c:f>
              <c:strCache>
                <c:ptCount val="57"/>
                <c:pt idx="0">
                  <c:v>DE21 Oberbayern</c:v>
                </c:pt>
                <c:pt idx="1">
                  <c:v>DE12 Karlsruhe</c:v>
                </c:pt>
                <c:pt idx="2">
                  <c:v>DE14 Tübingen</c:v>
                </c:pt>
                <c:pt idx="3">
                  <c:v>DE25 Mittelfranken</c:v>
                </c:pt>
                <c:pt idx="4">
                  <c:v>CZ01 Praha</c:v>
                </c:pt>
                <c:pt idx="5">
                  <c:v>DE11 Stuttgart</c:v>
                </c:pt>
                <c:pt idx="6">
                  <c:v>AT1 Ostösterreich</c:v>
                </c:pt>
                <c:pt idx="7">
                  <c:v>DE13 Freiburg</c:v>
                </c:pt>
                <c:pt idx="8">
                  <c:v>AT2 Südösterreich</c:v>
                </c:pt>
                <c:pt idx="9">
                  <c:v>AT3 Westösterreich</c:v>
                </c:pt>
                <c:pt idx="10">
                  <c:v>DE26 Unterfranken</c:v>
                </c:pt>
                <c:pt idx="11">
                  <c:v>DE23 Oberpfalz</c:v>
                </c:pt>
                <c:pt idx="12">
                  <c:v>DE24 Oberfranken</c:v>
                </c:pt>
                <c:pt idx="13">
                  <c:v>DE27 Schwaben</c:v>
                </c:pt>
                <c:pt idx="14">
                  <c:v>SI04 Zahodna Slovenija</c:v>
                </c:pt>
                <c:pt idx="15">
                  <c:v>HR05 Grad Zagreb</c:v>
                </c:pt>
                <c:pt idx="16">
                  <c:v>HU11 Budapest</c:v>
                </c:pt>
                <c:pt idx="17">
                  <c:v>CZ06 Jihovýchod</c:v>
                </c:pt>
                <c:pt idx="18">
                  <c:v>DE22 Niederbayern</c:v>
                </c:pt>
                <c:pt idx="19">
                  <c:v>SK01 Bratislavský kraj</c:v>
                </c:pt>
                <c:pt idx="20">
                  <c:v>CZ02 Strední Cechy</c:v>
                </c:pt>
                <c:pt idx="21">
                  <c:v>CZ05 Severovýchod</c:v>
                </c:pt>
                <c:pt idx="22">
                  <c:v>CZ07 Strední Morava</c:v>
                </c:pt>
                <c:pt idx="23">
                  <c:v>CZ08 Moravskoslezsko</c:v>
                </c:pt>
                <c:pt idx="24">
                  <c:v>SI03 Vzhodna Slovenija</c:v>
                </c:pt>
                <c:pt idx="25">
                  <c:v>RS11 Beogradski region</c:v>
                </c:pt>
                <c:pt idx="26">
                  <c:v>CZ03 Jihozápad</c:v>
                </c:pt>
                <c:pt idx="27">
                  <c:v>HR06 Sjeverna Hrvatska</c:v>
                </c:pt>
                <c:pt idx="28">
                  <c:v>HU12 Pest</c:v>
                </c:pt>
                <c:pt idx="29">
                  <c:v>HR03 Jadranska Hrvatska</c:v>
                </c:pt>
                <c:pt idx="30">
                  <c:v>CZ04 Severozápad</c:v>
                </c:pt>
                <c:pt idx="31">
                  <c:v>RS12 Region Vojvodine</c:v>
                </c:pt>
                <c:pt idx="32">
                  <c:v>SK04 Východné Slovensko</c:v>
                </c:pt>
                <c:pt idx="33">
                  <c:v>SK03 Stredné Slovensko</c:v>
                </c:pt>
                <c:pt idx="34">
                  <c:v>BG41 Yugozapaden</c:v>
                </c:pt>
                <c:pt idx="35">
                  <c:v>HR02 Panonska Hrvatska</c:v>
                </c:pt>
                <c:pt idx="36">
                  <c:v>HU21 Közép-Dunántúl</c:v>
                </c:pt>
                <c:pt idx="37">
                  <c:v>HU22 Nyugat-Dunántúl</c:v>
                </c:pt>
                <c:pt idx="38">
                  <c:v>RO32 Bucuresti - Ilfov</c:v>
                </c:pt>
                <c:pt idx="39">
                  <c:v>HU33 Dél-Alföld</c:v>
                </c:pt>
                <c:pt idx="40">
                  <c:v>HU31 Észak-Magyarország</c:v>
                </c:pt>
                <c:pt idx="41">
                  <c:v>HU23 Dél-Dunántúl</c:v>
                </c:pt>
                <c:pt idx="42">
                  <c:v>SK02 Západné Slovensko</c:v>
                </c:pt>
                <c:pt idx="43">
                  <c:v>HU32 Észak-Alföld</c:v>
                </c:pt>
                <c:pt idx="44">
                  <c:v>RS21 Region Sumadije i Zapadne Srbije</c:v>
                </c:pt>
                <c:pt idx="45">
                  <c:v>BG42 Yuzhen tsentralen</c:v>
                </c:pt>
                <c:pt idx="46">
                  <c:v>BG32 Severen tsentralen</c:v>
                </c:pt>
                <c:pt idx="47">
                  <c:v>BG33 Severoiztochen</c:v>
                </c:pt>
                <c:pt idx="48">
                  <c:v>RO21 Nord-Est</c:v>
                </c:pt>
                <c:pt idx="49">
                  <c:v>RO11 Nord-Vest</c:v>
                </c:pt>
                <c:pt idx="50">
                  <c:v>BG34 Yugoiztochen</c:v>
                </c:pt>
                <c:pt idx="51">
                  <c:v>RO42 Vest</c:v>
                </c:pt>
                <c:pt idx="52">
                  <c:v>BG31 Severozapaden</c:v>
                </c:pt>
                <c:pt idx="53">
                  <c:v>RO12 Centru</c:v>
                </c:pt>
                <c:pt idx="54">
                  <c:v>RO31 Sud - Muntenia</c:v>
                </c:pt>
                <c:pt idx="55">
                  <c:v>RO41 Sud-Vest Oltenia</c:v>
                </c:pt>
                <c:pt idx="56">
                  <c:v>RO22 Sud-Est</c:v>
                </c:pt>
              </c:strCache>
            </c:strRef>
          </c:cat>
          <c:val>
            <c:numRef>
              <c:f>'3.'!$C$3:$C$59</c:f>
              <c:numCache>
                <c:formatCode>0.0</c:formatCode>
                <c:ptCount val="57"/>
                <c:pt idx="0">
                  <c:v>148.81447500682478</c:v>
                </c:pt>
                <c:pt idx="1">
                  <c:v>146.46187409803591</c:v>
                </c:pt>
                <c:pt idx="2">
                  <c:v>138.09404261083844</c:v>
                </c:pt>
                <c:pt idx="3">
                  <c:v>134.58571143492128</c:v>
                </c:pt>
                <c:pt idx="4">
                  <c:v>114.41709417528475</c:v>
                </c:pt>
                <c:pt idx="5">
                  <c:v>134.39219525371743</c:v>
                </c:pt>
                <c:pt idx="6">
                  <c:v>125.94804470145128</c:v>
                </c:pt>
                <c:pt idx="7">
                  <c:v>131.27293779786694</c:v>
                </c:pt>
                <c:pt idx="8">
                  <c:v>123.30338726948146</c:v>
                </c:pt>
                <c:pt idx="9">
                  <c:v>120.14439506023891</c:v>
                </c:pt>
                <c:pt idx="10">
                  <c:v>122.46382202866256</c:v>
                </c:pt>
                <c:pt idx="11">
                  <c:v>112.17739055737677</c:v>
                </c:pt>
                <c:pt idx="12">
                  <c:v>112.74852143855075</c:v>
                </c:pt>
                <c:pt idx="13">
                  <c:v>114.76559603654</c:v>
                </c:pt>
                <c:pt idx="14">
                  <c:v>110.24091199253046</c:v>
                </c:pt>
                <c:pt idx="15">
                  <c:v>89.352422157102922</c:v>
                </c:pt>
                <c:pt idx="16">
                  <c:v>102.29863363060511</c:v>
                </c:pt>
                <c:pt idx="17">
                  <c:v>87.280429878631992</c:v>
                </c:pt>
                <c:pt idx="18">
                  <c:v>96.199722300578813</c:v>
                </c:pt>
                <c:pt idx="19">
                  <c:v>97.060524011804731</c:v>
                </c:pt>
                <c:pt idx="20">
                  <c:v>76.345782008106582</c:v>
                </c:pt>
                <c:pt idx="21">
                  <c:v>83.691425568754923</c:v>
                </c:pt>
                <c:pt idx="22">
                  <c:v>76.865689896791963</c:v>
                </c:pt>
                <c:pt idx="23">
                  <c:v>68.529199702568789</c:v>
                </c:pt>
                <c:pt idx="24">
                  <c:v>91.110284714810788</c:v>
                </c:pt>
                <c:pt idx="25">
                  <c:v>65.775651406675465</c:v>
                </c:pt>
                <c:pt idx="26">
                  <c:v>72.223435172803747</c:v>
                </c:pt>
                <c:pt idx="27">
                  <c:v>64.977897589233763</c:v>
                </c:pt>
                <c:pt idx="28">
                  <c:v>66.41401349324633</c:v>
                </c:pt>
                <c:pt idx="29">
                  <c:v>60.284628057283633</c:v>
                </c:pt>
                <c:pt idx="30">
                  <c:v>52.579421032452196</c:v>
                </c:pt>
                <c:pt idx="31">
                  <c:v>52.739324377021674</c:v>
                </c:pt>
                <c:pt idx="32">
                  <c:v>62.937898088716793</c:v>
                </c:pt>
                <c:pt idx="33">
                  <c:v>58.099528277101513</c:v>
                </c:pt>
                <c:pt idx="34">
                  <c:v>58.439760375646799</c:v>
                </c:pt>
                <c:pt idx="35">
                  <c:v>60.239166321866954</c:v>
                </c:pt>
                <c:pt idx="36">
                  <c:v>62.201699995689644</c:v>
                </c:pt>
                <c:pt idx="37">
                  <c:v>55.859064356191176</c:v>
                </c:pt>
                <c:pt idx="38">
                  <c:v>62.681592606194549</c:v>
                </c:pt>
                <c:pt idx="39">
                  <c:v>59.473167539473273</c:v>
                </c:pt>
                <c:pt idx="40">
                  <c:v>48.139644931760294</c:v>
                </c:pt>
                <c:pt idx="41">
                  <c:v>51.880116576105713</c:v>
                </c:pt>
                <c:pt idx="42">
                  <c:v>52.730319467293562</c:v>
                </c:pt>
                <c:pt idx="43">
                  <c:v>53.447920114214163</c:v>
                </c:pt>
                <c:pt idx="44">
                  <c:v>46.2636203355192</c:v>
                </c:pt>
                <c:pt idx="45">
                  <c:v>38.672568434959572</c:v>
                </c:pt>
                <c:pt idx="46">
                  <c:v>37.223996612841816</c:v>
                </c:pt>
                <c:pt idx="47">
                  <c:v>38.44086420516566</c:v>
                </c:pt>
                <c:pt idx="48">
                  <c:v>36.674227002021517</c:v>
                </c:pt>
                <c:pt idx="49">
                  <c:v>33.458732362390116</c:v>
                </c:pt>
                <c:pt idx="50">
                  <c:v>29.551970834999317</c:v>
                </c:pt>
                <c:pt idx="51">
                  <c:v>36.3064174223476</c:v>
                </c:pt>
                <c:pt idx="52">
                  <c:v>33.18088343645352</c:v>
                </c:pt>
                <c:pt idx="53">
                  <c:v>26.645228903048356</c:v>
                </c:pt>
                <c:pt idx="54">
                  <c:v>24.110895000828858</c:v>
                </c:pt>
                <c:pt idx="55">
                  <c:v>17.933665044479575</c:v>
                </c:pt>
                <c:pt idx="56">
                  <c:v>27.72224977748985</c:v>
                </c:pt>
              </c:numCache>
            </c:numRef>
          </c:val>
          <c:smooth val="0"/>
          <c:extLst>
            <c:ext xmlns:c16="http://schemas.microsoft.com/office/drawing/2014/chart" uri="{C3380CC4-5D6E-409C-BE32-E72D297353CC}">
              <c16:uniqueId val="{0000001D-3CC4-4022-8D81-9E7D81071C3F}"/>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11681582627533071"/>
          <c:h val="5.212054438891497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72012063564357E-2"/>
          <c:y val="3.0672704893449126E-2"/>
          <c:w val="0.92796545593091184"/>
          <c:h val="0.8682950938163212"/>
        </c:manualLayout>
      </c:layout>
      <c:barChart>
        <c:barDir val="col"/>
        <c:grouping val="clustered"/>
        <c:varyColors val="0"/>
        <c:ser>
          <c:idx val="0"/>
          <c:order val="0"/>
          <c:tx>
            <c:strRef>
              <c:f>'4.'!$B$3</c:f>
              <c:strCache>
                <c:ptCount val="1"/>
                <c:pt idx="0">
                  <c:v>2023</c:v>
                </c:pt>
              </c:strCache>
            </c:strRef>
          </c:tx>
          <c:spPr>
            <a:solidFill>
              <a:schemeClr val="accent1"/>
            </a:solidFill>
            <a:ln>
              <a:noFill/>
            </a:ln>
            <a:effectLst/>
          </c:spPr>
          <c:invertIfNegative val="0"/>
          <c:cat>
            <c:strRef>
              <c:f>'4.'!$A$4:$A$20</c:f>
              <c:strCache>
                <c:ptCount val="17"/>
                <c:pt idx="0">
                  <c:v>BW</c:v>
                </c:pt>
                <c:pt idx="1">
                  <c:v>BAV</c:v>
                </c:pt>
                <c:pt idx="2">
                  <c:v>AT</c:v>
                </c:pt>
                <c:pt idx="3">
                  <c:v>DE</c:v>
                </c:pt>
                <c:pt idx="4">
                  <c:v>EU</c:v>
                </c:pt>
                <c:pt idx="5">
                  <c:v>SI</c:v>
                </c:pt>
                <c:pt idx="6">
                  <c:v>CZ</c:v>
                </c:pt>
                <c:pt idx="7">
                  <c:v>HR</c:v>
                </c:pt>
                <c:pt idx="8">
                  <c:v>HU</c:v>
                </c:pt>
                <c:pt idx="9">
                  <c:v>SK</c:v>
                </c:pt>
                <c:pt idx="10">
                  <c:v>RS</c:v>
                </c:pt>
                <c:pt idx="11">
                  <c:v>BG</c:v>
                </c:pt>
                <c:pt idx="12">
                  <c:v>RO</c:v>
                </c:pt>
                <c:pt idx="13">
                  <c:v>MD</c:v>
                </c:pt>
                <c:pt idx="14">
                  <c:v>ME</c:v>
                </c:pt>
                <c:pt idx="15">
                  <c:v>UA</c:v>
                </c:pt>
                <c:pt idx="16">
                  <c:v>BA</c:v>
                </c:pt>
              </c:strCache>
            </c:strRef>
          </c:cat>
          <c:val>
            <c:numRef>
              <c:f>'4.'!$B$4:$B$20</c:f>
              <c:numCache>
                <c:formatCode>General</c:formatCode>
                <c:ptCount val="17"/>
                <c:pt idx="0">
                  <c:v>5.59</c:v>
                </c:pt>
                <c:pt idx="1">
                  <c:v>3.37</c:v>
                </c:pt>
                <c:pt idx="2" formatCode="#\ ##0.##########">
                  <c:v>3.29</c:v>
                </c:pt>
                <c:pt idx="3" formatCode="#\ ##0.##########">
                  <c:v>3.11</c:v>
                </c:pt>
                <c:pt idx="4" formatCode="#\ ##0.##########">
                  <c:v>2.2200000000000002</c:v>
                </c:pt>
                <c:pt idx="5" formatCode="#\ ##0.##########">
                  <c:v>2.13</c:v>
                </c:pt>
                <c:pt idx="6" formatCode="#\ ##0.##########">
                  <c:v>1.83</c:v>
                </c:pt>
                <c:pt idx="7" formatCode="#\ ##0.##########">
                  <c:v>1.39</c:v>
                </c:pt>
                <c:pt idx="8" formatCode="#\ ##0.##########">
                  <c:v>1.39</c:v>
                </c:pt>
                <c:pt idx="9" formatCode="#\ ##0.##########">
                  <c:v>1.04</c:v>
                </c:pt>
                <c:pt idx="10" formatCode="#\ ##0.##########">
                  <c:v>0.88</c:v>
                </c:pt>
                <c:pt idx="11" formatCode="#\ ##0.##########">
                  <c:v>0.79</c:v>
                </c:pt>
                <c:pt idx="12" formatCode="#\ ##0.##########">
                  <c:v>0.52</c:v>
                </c:pt>
                <c:pt idx="13">
                  <c:v>0.37</c:v>
                </c:pt>
                <c:pt idx="14">
                  <c:v>0.36327999999999999</c:v>
                </c:pt>
                <c:pt idx="15">
                  <c:v>0.32</c:v>
                </c:pt>
                <c:pt idx="16">
                  <c:v>0.18743000000000001</c:v>
                </c:pt>
              </c:numCache>
            </c:numRef>
          </c:val>
          <c:extLst>
            <c:ext xmlns:c16="http://schemas.microsoft.com/office/drawing/2014/chart" uri="{C3380CC4-5D6E-409C-BE32-E72D297353CC}">
              <c16:uniqueId val="{00000000-E5E8-4002-AA03-B3D4FE57965D}"/>
            </c:ext>
          </c:extLst>
        </c:ser>
        <c:dLbls>
          <c:showLegendKey val="0"/>
          <c:showVal val="0"/>
          <c:showCatName val="0"/>
          <c:showSerName val="0"/>
          <c:showPercent val="0"/>
          <c:showBubbleSize val="0"/>
        </c:dLbls>
        <c:gapWidth val="219"/>
        <c:overlap val="-27"/>
        <c:axId val="1247853520"/>
        <c:axId val="1247851120"/>
      </c:barChart>
      <c:lineChart>
        <c:grouping val="standard"/>
        <c:varyColors val="0"/>
        <c:ser>
          <c:idx val="1"/>
          <c:order val="1"/>
          <c:tx>
            <c:strRef>
              <c:f>'4.'!$C$3</c:f>
              <c:strCache>
                <c:ptCount val="1"/>
                <c:pt idx="0">
                  <c:v>2017</c:v>
                </c:pt>
              </c:strCache>
            </c:strRef>
          </c:tx>
          <c:spPr>
            <a:ln w="25400" cap="rnd">
              <a:noFill/>
              <a:round/>
            </a:ln>
            <a:effectLst/>
          </c:spPr>
          <c:marker>
            <c:symbol val="triangle"/>
            <c:size val="8"/>
            <c:spPr>
              <a:solidFill>
                <a:srgbClr val="FFFF00"/>
              </a:solidFill>
              <a:ln w="9525">
                <a:solidFill>
                  <a:srgbClr val="FFFF00"/>
                </a:solidFill>
              </a:ln>
              <a:effectLst/>
            </c:spPr>
          </c:marker>
          <c:cat>
            <c:strRef>
              <c:f>'4.'!$A$4:$A$20</c:f>
              <c:strCache>
                <c:ptCount val="17"/>
                <c:pt idx="0">
                  <c:v>BW</c:v>
                </c:pt>
                <c:pt idx="1">
                  <c:v>BAV</c:v>
                </c:pt>
                <c:pt idx="2">
                  <c:v>AT</c:v>
                </c:pt>
                <c:pt idx="3">
                  <c:v>DE</c:v>
                </c:pt>
                <c:pt idx="4">
                  <c:v>EU</c:v>
                </c:pt>
                <c:pt idx="5">
                  <c:v>SI</c:v>
                </c:pt>
                <c:pt idx="6">
                  <c:v>CZ</c:v>
                </c:pt>
                <c:pt idx="7">
                  <c:v>HR</c:v>
                </c:pt>
                <c:pt idx="8">
                  <c:v>HU</c:v>
                </c:pt>
                <c:pt idx="9">
                  <c:v>SK</c:v>
                </c:pt>
                <c:pt idx="10">
                  <c:v>RS</c:v>
                </c:pt>
                <c:pt idx="11">
                  <c:v>BG</c:v>
                </c:pt>
                <c:pt idx="12">
                  <c:v>RO</c:v>
                </c:pt>
                <c:pt idx="13">
                  <c:v>MD</c:v>
                </c:pt>
                <c:pt idx="14">
                  <c:v>ME</c:v>
                </c:pt>
                <c:pt idx="15">
                  <c:v>UA</c:v>
                </c:pt>
                <c:pt idx="16">
                  <c:v>BA</c:v>
                </c:pt>
              </c:strCache>
            </c:strRef>
          </c:cat>
          <c:val>
            <c:numRef>
              <c:f>'4.'!$C$4:$C$20</c:f>
              <c:numCache>
                <c:formatCode>#\ ##0.##########</c:formatCode>
                <c:ptCount val="17"/>
                <c:pt idx="0">
                  <c:v>2.99</c:v>
                </c:pt>
                <c:pt idx="1">
                  <c:v>3.08</c:v>
                </c:pt>
                <c:pt idx="2">
                  <c:v>3.07</c:v>
                </c:pt>
                <c:pt idx="3">
                  <c:v>2.99</c:v>
                </c:pt>
                <c:pt idx="4">
                  <c:v>2.14</c:v>
                </c:pt>
                <c:pt idx="5">
                  <c:v>1.88</c:v>
                </c:pt>
                <c:pt idx="6">
                  <c:v>1.75</c:v>
                </c:pt>
                <c:pt idx="7">
                  <c:v>0.84</c:v>
                </c:pt>
                <c:pt idx="8">
                  <c:v>1.31</c:v>
                </c:pt>
                <c:pt idx="9">
                  <c:v>0.88</c:v>
                </c:pt>
                <c:pt idx="10">
                  <c:v>0.84</c:v>
                </c:pt>
                <c:pt idx="11">
                  <c:v>0.74</c:v>
                </c:pt>
                <c:pt idx="12">
                  <c:v>0.51</c:v>
                </c:pt>
                <c:pt idx="13">
                  <c:v>0.26</c:v>
                </c:pt>
                <c:pt idx="14">
                  <c:v>0.35</c:v>
                </c:pt>
                <c:pt idx="15">
                  <c:v>0.45</c:v>
                </c:pt>
                <c:pt idx="16" formatCode="General">
                  <c:v>0.1978</c:v>
                </c:pt>
              </c:numCache>
            </c:numRef>
          </c:val>
          <c:smooth val="0"/>
          <c:extLst>
            <c:ext xmlns:c16="http://schemas.microsoft.com/office/drawing/2014/chart" uri="{C3380CC4-5D6E-409C-BE32-E72D297353CC}">
              <c16:uniqueId val="{00000001-E5E8-4002-AA03-B3D4FE57965D}"/>
            </c:ext>
          </c:extLst>
        </c:ser>
        <c:ser>
          <c:idx val="2"/>
          <c:order val="2"/>
          <c:tx>
            <c:strRef>
              <c:f>'4.'!$D$3</c:f>
              <c:strCache>
                <c:ptCount val="1"/>
                <c:pt idx="0">
                  <c:v>2010</c:v>
                </c:pt>
              </c:strCache>
            </c:strRef>
          </c:tx>
          <c:spPr>
            <a:ln w="28575" cap="rnd">
              <a:noFill/>
              <a:round/>
            </a:ln>
            <a:effectLst/>
          </c:spPr>
          <c:marker>
            <c:symbol val="triangle"/>
            <c:size val="8"/>
            <c:spPr>
              <a:solidFill>
                <a:schemeClr val="accent2"/>
              </a:solidFill>
              <a:ln w="9525">
                <a:solidFill>
                  <a:schemeClr val="accent2"/>
                </a:solidFill>
              </a:ln>
              <a:effectLst/>
            </c:spPr>
          </c:marker>
          <c:cat>
            <c:strRef>
              <c:f>'4.'!$A$4:$A$20</c:f>
              <c:strCache>
                <c:ptCount val="17"/>
                <c:pt idx="0">
                  <c:v>BW</c:v>
                </c:pt>
                <c:pt idx="1">
                  <c:v>BAV</c:v>
                </c:pt>
                <c:pt idx="2">
                  <c:v>AT</c:v>
                </c:pt>
                <c:pt idx="3">
                  <c:v>DE</c:v>
                </c:pt>
                <c:pt idx="4">
                  <c:v>EU</c:v>
                </c:pt>
                <c:pt idx="5">
                  <c:v>SI</c:v>
                </c:pt>
                <c:pt idx="6">
                  <c:v>CZ</c:v>
                </c:pt>
                <c:pt idx="7">
                  <c:v>HR</c:v>
                </c:pt>
                <c:pt idx="8">
                  <c:v>HU</c:v>
                </c:pt>
                <c:pt idx="9">
                  <c:v>SK</c:v>
                </c:pt>
                <c:pt idx="10">
                  <c:v>RS</c:v>
                </c:pt>
                <c:pt idx="11">
                  <c:v>BG</c:v>
                </c:pt>
                <c:pt idx="12">
                  <c:v>RO</c:v>
                </c:pt>
                <c:pt idx="13">
                  <c:v>MD</c:v>
                </c:pt>
                <c:pt idx="14">
                  <c:v>ME</c:v>
                </c:pt>
                <c:pt idx="15">
                  <c:v>UA</c:v>
                </c:pt>
                <c:pt idx="16">
                  <c:v>BA</c:v>
                </c:pt>
              </c:strCache>
            </c:strRef>
          </c:cat>
          <c:val>
            <c:numRef>
              <c:f>'4.'!$D$4:$D$20</c:f>
              <c:numCache>
                <c:formatCode>General</c:formatCode>
                <c:ptCount val="17"/>
                <c:pt idx="0">
                  <c:v>4.8</c:v>
                </c:pt>
                <c:pt idx="1">
                  <c:v>2.98</c:v>
                </c:pt>
                <c:pt idx="2" formatCode="#\ ##0.##########">
                  <c:v>2.74</c:v>
                </c:pt>
                <c:pt idx="3" formatCode="#\ ##0.##########">
                  <c:v>2.68</c:v>
                </c:pt>
                <c:pt idx="4" formatCode="#\ ##0.##########">
                  <c:v>1.96</c:v>
                </c:pt>
                <c:pt idx="5" formatCode="#\ ##0.##########">
                  <c:v>2.0699999999999998</c:v>
                </c:pt>
                <c:pt idx="6" formatCode="#\ ##0.##########">
                  <c:v>1.31</c:v>
                </c:pt>
                <c:pt idx="7" formatCode="#\ ##0.##########">
                  <c:v>0.73</c:v>
                </c:pt>
                <c:pt idx="8" formatCode="#\ ##0.##########">
                  <c:v>1.1299999999999999</c:v>
                </c:pt>
                <c:pt idx="9" formatCode="#\ ##0.##########">
                  <c:v>0.61</c:v>
                </c:pt>
                <c:pt idx="10" formatCode="#\ ##0.##########">
                  <c:v>0.67</c:v>
                </c:pt>
                <c:pt idx="11" formatCode="#\ ##0.##########">
                  <c:v>0.56000000000000005</c:v>
                </c:pt>
                <c:pt idx="12" formatCode="#\ ##0.##########">
                  <c:v>0.45</c:v>
                </c:pt>
                <c:pt idx="13">
                  <c:v>0.23</c:v>
                </c:pt>
                <c:pt idx="14">
                  <c:v>0.31485000000000002</c:v>
                </c:pt>
                <c:pt idx="15">
                  <c:v>0.8</c:v>
                </c:pt>
                <c:pt idx="16">
                  <c:v>2.1059999999999999E-2</c:v>
                </c:pt>
              </c:numCache>
            </c:numRef>
          </c:val>
          <c:smooth val="0"/>
          <c:extLst>
            <c:ext xmlns:c16="http://schemas.microsoft.com/office/drawing/2014/chart" uri="{C3380CC4-5D6E-409C-BE32-E72D297353CC}">
              <c16:uniqueId val="{00000002-E5E8-4002-AA03-B3D4FE57965D}"/>
            </c:ext>
          </c:extLst>
        </c:ser>
        <c:dLbls>
          <c:showLegendKey val="0"/>
          <c:showVal val="0"/>
          <c:showCatName val="0"/>
          <c:showSerName val="0"/>
          <c:showPercent val="0"/>
          <c:showBubbleSize val="0"/>
        </c:dLbls>
        <c:marker val="1"/>
        <c:smooth val="0"/>
        <c:axId val="1247853520"/>
        <c:axId val="1247851120"/>
      </c:lineChart>
      <c:catAx>
        <c:axId val="12478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1120"/>
        <c:crosses val="autoZero"/>
        <c:auto val="1"/>
        <c:lblAlgn val="ctr"/>
        <c:lblOffset val="100"/>
        <c:noMultiLvlLbl val="0"/>
      </c:catAx>
      <c:valAx>
        <c:axId val="12478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247853520"/>
        <c:crosses val="autoZero"/>
        <c:crossBetween val="between"/>
      </c:valAx>
      <c:spPr>
        <a:noFill/>
        <a:ln>
          <a:noFill/>
        </a:ln>
        <a:effectLst/>
      </c:spPr>
    </c:plotArea>
    <c:legend>
      <c:legendPos val="b"/>
      <c:layout>
        <c:manualLayout>
          <c:xMode val="edge"/>
          <c:yMode val="edge"/>
          <c:x val="0.43214408543759614"/>
          <c:y val="5.7859655578677727E-2"/>
          <c:w val="0.28141694216477769"/>
          <c:h val="5.670605844819584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30-41D9-9152-7121716E5E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30-41D9-9152-7121716E5E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30-41D9-9152-7121716E5E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30-41D9-9152-7121716E5E0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30-41D9-9152-7121716E5E0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B30-41D9-9152-7121716E5E0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B30-41D9-9152-7121716E5E0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B30-41D9-9152-7121716E5E0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B30-41D9-9152-7121716E5E0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B30-41D9-9152-7121716E5E0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B30-41D9-9152-7121716E5E0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B30-41D9-9152-7121716E5E0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B30-41D9-9152-7121716E5E0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B30-41D9-9152-7121716E5E0A}"/>
              </c:ext>
            </c:extLst>
          </c:dPt>
          <c:dLbls>
            <c:dLbl>
              <c:idx val="2"/>
              <c:delete val="1"/>
              <c:extLst>
                <c:ext xmlns:c15="http://schemas.microsoft.com/office/drawing/2012/chart" uri="{CE6537A1-D6FC-4f65-9D91-7224C49458BB}"/>
                <c:ext xmlns:c16="http://schemas.microsoft.com/office/drawing/2014/chart" uri="{C3380CC4-5D6E-409C-BE32-E72D297353CC}">
                  <c16:uniqueId val="{00000005-8B30-41D9-9152-7121716E5E0A}"/>
                </c:ext>
              </c:extLst>
            </c:dLbl>
            <c:dLbl>
              <c:idx val="3"/>
              <c:delete val="1"/>
              <c:extLst>
                <c:ext xmlns:c15="http://schemas.microsoft.com/office/drawing/2012/chart" uri="{CE6537A1-D6FC-4f65-9D91-7224C49458BB}"/>
                <c:ext xmlns:c16="http://schemas.microsoft.com/office/drawing/2014/chart" uri="{C3380CC4-5D6E-409C-BE32-E72D297353CC}">
                  <c16:uniqueId val="{00000007-8B30-41D9-9152-7121716E5E0A}"/>
                </c:ext>
              </c:extLst>
            </c:dLbl>
            <c:dLbl>
              <c:idx val="4"/>
              <c:delete val="1"/>
              <c:extLst>
                <c:ext xmlns:c15="http://schemas.microsoft.com/office/drawing/2012/chart" uri="{CE6537A1-D6FC-4f65-9D91-7224C49458BB}"/>
                <c:ext xmlns:c16="http://schemas.microsoft.com/office/drawing/2014/chart" uri="{C3380CC4-5D6E-409C-BE32-E72D297353CC}">
                  <c16:uniqueId val="{00000009-8B30-41D9-9152-7121716E5E0A}"/>
                </c:ext>
              </c:extLst>
            </c:dLbl>
            <c:dLbl>
              <c:idx val="5"/>
              <c:delete val="1"/>
              <c:extLst>
                <c:ext xmlns:c15="http://schemas.microsoft.com/office/drawing/2012/chart" uri="{CE6537A1-D6FC-4f65-9D91-7224C49458BB}"/>
                <c:ext xmlns:c16="http://schemas.microsoft.com/office/drawing/2014/chart" uri="{C3380CC4-5D6E-409C-BE32-E72D297353CC}">
                  <c16:uniqueId val="{0000000B-8B30-41D9-9152-7121716E5E0A}"/>
                </c:ext>
              </c:extLst>
            </c:dLbl>
            <c:dLbl>
              <c:idx val="6"/>
              <c:delete val="1"/>
              <c:extLst>
                <c:ext xmlns:c15="http://schemas.microsoft.com/office/drawing/2012/chart" uri="{CE6537A1-D6FC-4f65-9D91-7224C49458BB}"/>
                <c:ext xmlns:c16="http://schemas.microsoft.com/office/drawing/2014/chart" uri="{C3380CC4-5D6E-409C-BE32-E72D297353CC}">
                  <c16:uniqueId val="{0000000D-8B30-41D9-9152-7121716E5E0A}"/>
                </c:ext>
              </c:extLst>
            </c:dLbl>
            <c:dLbl>
              <c:idx val="7"/>
              <c:delete val="1"/>
              <c:extLst>
                <c:ext xmlns:c15="http://schemas.microsoft.com/office/drawing/2012/chart" uri="{CE6537A1-D6FC-4f65-9D91-7224C49458BB}"/>
                <c:ext xmlns:c16="http://schemas.microsoft.com/office/drawing/2014/chart" uri="{C3380CC4-5D6E-409C-BE32-E72D297353CC}">
                  <c16:uniqueId val="{0000000F-8B30-41D9-9152-7121716E5E0A}"/>
                </c:ext>
              </c:extLst>
            </c:dLbl>
            <c:dLbl>
              <c:idx val="8"/>
              <c:delete val="1"/>
              <c:extLst>
                <c:ext xmlns:c15="http://schemas.microsoft.com/office/drawing/2012/chart" uri="{CE6537A1-D6FC-4f65-9D91-7224C49458BB}"/>
                <c:ext xmlns:c16="http://schemas.microsoft.com/office/drawing/2014/chart" uri="{C3380CC4-5D6E-409C-BE32-E72D297353CC}">
                  <c16:uniqueId val="{00000011-8B30-41D9-9152-7121716E5E0A}"/>
                </c:ext>
              </c:extLst>
            </c:dLbl>
            <c:dLbl>
              <c:idx val="9"/>
              <c:delete val="1"/>
              <c:extLst>
                <c:ext xmlns:c15="http://schemas.microsoft.com/office/drawing/2012/chart" uri="{CE6537A1-D6FC-4f65-9D91-7224C49458BB}"/>
                <c:ext xmlns:c16="http://schemas.microsoft.com/office/drawing/2014/chart" uri="{C3380CC4-5D6E-409C-BE32-E72D297353CC}">
                  <c16:uniqueId val="{00000013-8B30-41D9-9152-7121716E5E0A}"/>
                </c:ext>
              </c:extLst>
            </c:dLbl>
            <c:dLbl>
              <c:idx val="10"/>
              <c:delete val="1"/>
              <c:extLst>
                <c:ext xmlns:c15="http://schemas.microsoft.com/office/drawing/2012/chart" uri="{CE6537A1-D6FC-4f65-9D91-7224C49458BB}"/>
                <c:ext xmlns:c16="http://schemas.microsoft.com/office/drawing/2014/chart" uri="{C3380CC4-5D6E-409C-BE32-E72D297353CC}">
                  <c16:uniqueId val="{00000015-8B30-41D9-9152-7121716E5E0A}"/>
                </c:ext>
              </c:extLst>
            </c:dLbl>
            <c:dLbl>
              <c:idx val="11"/>
              <c:delete val="1"/>
              <c:extLst>
                <c:ext xmlns:c15="http://schemas.microsoft.com/office/drawing/2012/chart" uri="{CE6537A1-D6FC-4f65-9D91-7224C49458BB}"/>
                <c:ext xmlns:c16="http://schemas.microsoft.com/office/drawing/2014/chart" uri="{C3380CC4-5D6E-409C-BE32-E72D297353CC}">
                  <c16:uniqueId val="{00000017-8B30-41D9-9152-7121716E5E0A}"/>
                </c:ext>
              </c:extLst>
            </c:dLbl>
            <c:dLbl>
              <c:idx val="12"/>
              <c:delete val="1"/>
              <c:extLst>
                <c:ext xmlns:c15="http://schemas.microsoft.com/office/drawing/2012/chart" uri="{CE6537A1-D6FC-4f65-9D91-7224C49458BB}"/>
                <c:ext xmlns:c16="http://schemas.microsoft.com/office/drawing/2014/chart" uri="{C3380CC4-5D6E-409C-BE32-E72D297353CC}">
                  <c16:uniqueId val="{00000019-8B30-41D9-9152-7121716E5E0A}"/>
                </c:ext>
              </c:extLst>
            </c:dLbl>
            <c:dLbl>
              <c:idx val="13"/>
              <c:delete val="1"/>
              <c:extLst>
                <c:ext xmlns:c15="http://schemas.microsoft.com/office/drawing/2012/chart" uri="{CE6537A1-D6FC-4f65-9D91-7224C49458BB}"/>
                <c:ext xmlns:c16="http://schemas.microsoft.com/office/drawing/2014/chart" uri="{C3380CC4-5D6E-409C-BE32-E72D297353CC}">
                  <c16:uniqueId val="{0000001B-8B30-41D9-9152-7121716E5E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('5.'!$A$4,'5.'!$A$7:$A$19)</c:f>
              <c:strCache>
                <c:ptCount val="14"/>
                <c:pt idx="0">
                  <c:v>DE</c:v>
                </c:pt>
                <c:pt idx="1">
                  <c:v>AT</c:v>
                </c:pt>
                <c:pt idx="2">
                  <c:v>CZ</c:v>
                </c:pt>
                <c:pt idx="3">
                  <c:v>HU</c:v>
                </c:pt>
                <c:pt idx="4">
                  <c:v>RO</c:v>
                </c:pt>
                <c:pt idx="5">
                  <c:v>SI</c:v>
                </c:pt>
                <c:pt idx="6">
                  <c:v>SK</c:v>
                </c:pt>
                <c:pt idx="7">
                  <c:v>HR</c:v>
                </c:pt>
                <c:pt idx="8">
                  <c:v>BG</c:v>
                </c:pt>
                <c:pt idx="9">
                  <c:v>RS</c:v>
                </c:pt>
                <c:pt idx="10">
                  <c:v>UA</c:v>
                </c:pt>
                <c:pt idx="11">
                  <c:v>BA</c:v>
                </c:pt>
                <c:pt idx="12">
                  <c:v>MD</c:v>
                </c:pt>
                <c:pt idx="13">
                  <c:v>ME</c:v>
                </c:pt>
              </c:strCache>
              <c:extLst/>
            </c:strRef>
          </c:cat>
          <c:val>
            <c:numRef>
              <c:f>('5.'!$B$4,'5.'!$B$7:$B$19)</c:f>
              <c:numCache>
                <c:formatCode>#\ ##0.##########</c:formatCode>
                <c:ptCount val="14"/>
                <c:pt idx="0" formatCode="#,##0">
                  <c:v>129972</c:v>
                </c:pt>
                <c:pt idx="1">
                  <c:v>15580.4</c:v>
                </c:pt>
                <c:pt idx="2">
                  <c:v>5819.8630000000003</c:v>
                </c:pt>
                <c:pt idx="3">
                  <c:v>2726.0540000000001</c:v>
                </c:pt>
                <c:pt idx="4">
                  <c:v>1675.569</c:v>
                </c:pt>
                <c:pt idx="5">
                  <c:v>1364.626</c:v>
                </c:pt>
                <c:pt idx="6">
                  <c:v>1279.922</c:v>
                </c:pt>
                <c:pt idx="7">
                  <c:v>1083.028</c:v>
                </c:pt>
                <c:pt idx="8">
                  <c:v>750.32799999999997</c:v>
                </c:pt>
                <c:pt idx="9">
                  <c:v>660.40899999999999</c:v>
                </c:pt>
                <c:pt idx="10">
                  <c:v>489.6</c:v>
                </c:pt>
                <c:pt idx="11">
                  <c:v>43.1</c:v>
                </c:pt>
                <c:pt idx="12">
                  <c:v>34.284999999999997</c:v>
                </c:pt>
                <c:pt idx="13">
                  <c:v>17.98</c:v>
                </c:pt>
              </c:numCache>
              <c:extLst/>
            </c:numRef>
          </c:val>
          <c:extLst>
            <c:ext xmlns:c16="http://schemas.microsoft.com/office/drawing/2014/chart" uri="{C3380CC4-5D6E-409C-BE32-E72D297353CC}">
              <c16:uniqueId val="{0000001C-8B30-41D9-9152-7121716E5E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8E-4CE7-870C-BA53C7D2B8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8E-4CE7-870C-BA53C7D2B8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8E-4CE7-870C-BA53C7D2B8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8E-4CE7-870C-BA53C7D2B88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E8E-4CE7-870C-BA53C7D2B88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E8E-4CE7-870C-BA53C7D2B88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E8E-4CE7-870C-BA53C7D2B88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E8E-4CE7-870C-BA53C7D2B88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E8E-4CE7-870C-BA53C7D2B88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E8E-4CE7-870C-BA53C7D2B88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E8E-4CE7-870C-BA53C7D2B88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E8E-4CE7-870C-BA53C7D2B88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EE8E-4CE7-870C-BA53C7D2B8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'5.'!$A$7:$A$19</c:f>
              <c:strCache>
                <c:ptCount val="13"/>
                <c:pt idx="0">
                  <c:v>AT</c:v>
                </c:pt>
                <c:pt idx="1">
                  <c:v>CZ</c:v>
                </c:pt>
                <c:pt idx="2">
                  <c:v>HU</c:v>
                </c:pt>
                <c:pt idx="3">
                  <c:v>RO</c:v>
                </c:pt>
                <c:pt idx="4">
                  <c:v>SI</c:v>
                </c:pt>
                <c:pt idx="5">
                  <c:v>SK</c:v>
                </c:pt>
                <c:pt idx="6">
                  <c:v>HR</c:v>
                </c:pt>
                <c:pt idx="7">
                  <c:v>BG</c:v>
                </c:pt>
                <c:pt idx="8">
                  <c:v>RS</c:v>
                </c:pt>
                <c:pt idx="9">
                  <c:v>UA</c:v>
                </c:pt>
                <c:pt idx="10">
                  <c:v>BA</c:v>
                </c:pt>
                <c:pt idx="11">
                  <c:v>MD</c:v>
                </c:pt>
                <c:pt idx="12">
                  <c:v>ME</c:v>
                </c:pt>
              </c:strCache>
              <c:extLst/>
            </c:strRef>
          </c:cat>
          <c:val>
            <c:numRef>
              <c:f>'5.'!$B$7:$B$19</c:f>
              <c:numCache>
                <c:formatCode>#\ ##0.##########</c:formatCode>
                <c:ptCount val="13"/>
                <c:pt idx="0">
                  <c:v>15580.4</c:v>
                </c:pt>
                <c:pt idx="1">
                  <c:v>5819.8630000000003</c:v>
                </c:pt>
                <c:pt idx="2">
                  <c:v>2726.0540000000001</c:v>
                </c:pt>
                <c:pt idx="3">
                  <c:v>1675.569</c:v>
                </c:pt>
                <c:pt idx="4">
                  <c:v>1364.626</c:v>
                </c:pt>
                <c:pt idx="5">
                  <c:v>1279.922</c:v>
                </c:pt>
                <c:pt idx="6">
                  <c:v>1083.028</c:v>
                </c:pt>
                <c:pt idx="7">
                  <c:v>750.32799999999997</c:v>
                </c:pt>
                <c:pt idx="8">
                  <c:v>660.40899999999999</c:v>
                </c:pt>
                <c:pt idx="9">
                  <c:v>489.6</c:v>
                </c:pt>
                <c:pt idx="10">
                  <c:v>43.1</c:v>
                </c:pt>
                <c:pt idx="11">
                  <c:v>34.284999999999997</c:v>
                </c:pt>
                <c:pt idx="12">
                  <c:v>17.98</c:v>
                </c:pt>
              </c:numCache>
              <c:extLst/>
            </c:numRef>
          </c:val>
          <c:extLst>
            <c:ext xmlns:c16="http://schemas.microsoft.com/office/drawing/2014/chart" uri="{C3380CC4-5D6E-409C-BE32-E72D297353CC}">
              <c16:uniqueId val="{0000001A-EE8E-4CE7-870C-BA53C7D2B88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32321741032371E-2"/>
          <c:y val="3.8144771558690387E-2"/>
          <c:w val="0.93237122703412079"/>
          <c:h val="0.80236366520740843"/>
        </c:manualLayout>
      </c:layout>
      <c:barChart>
        <c:barDir val="col"/>
        <c:grouping val="clustered"/>
        <c:varyColors val="0"/>
        <c:ser>
          <c:idx val="0"/>
          <c:order val="0"/>
          <c:tx>
            <c:strRef>
              <c:f>'6.'!$C$2</c:f>
              <c:strCache>
                <c:ptCount val="1"/>
                <c:pt idx="0">
                  <c:v>2022</c:v>
                </c:pt>
              </c:strCache>
            </c:strRef>
          </c:tx>
          <c:spPr>
            <a:solidFill>
              <a:schemeClr val="accent1"/>
            </a:solidFill>
            <a:ln>
              <a:noFill/>
            </a:ln>
            <a:effectLst/>
          </c:spPr>
          <c:invertIfNegative val="0"/>
          <c:cat>
            <c:strRef>
              <c:f>'6.'!$B$3:$B$15</c:f>
              <c:strCache>
                <c:ptCount val="13"/>
                <c:pt idx="0">
                  <c:v>DE</c:v>
                </c:pt>
                <c:pt idx="1">
                  <c:v>AT</c:v>
                </c:pt>
                <c:pt idx="2">
                  <c:v>EU</c:v>
                </c:pt>
                <c:pt idx="3">
                  <c:v>SI</c:v>
                </c:pt>
                <c:pt idx="4">
                  <c:v>CZ</c:v>
                </c:pt>
                <c:pt idx="5">
                  <c:v>HU</c:v>
                </c:pt>
                <c:pt idx="6">
                  <c:v>HR</c:v>
                </c:pt>
                <c:pt idx="7">
                  <c:v>SK</c:v>
                </c:pt>
                <c:pt idx="8">
                  <c:v>BG</c:v>
                </c:pt>
                <c:pt idx="9">
                  <c:v>RO</c:v>
                </c:pt>
                <c:pt idx="10">
                  <c:v>ME</c:v>
                </c:pt>
                <c:pt idx="11">
                  <c:v>BA</c:v>
                </c:pt>
                <c:pt idx="12">
                  <c:v>RS</c:v>
                </c:pt>
              </c:strCache>
            </c:strRef>
          </c:cat>
          <c:val>
            <c:numRef>
              <c:f>'6.'!$C$3:$C$15</c:f>
              <c:numCache>
                <c:formatCode>#\ ##0.##########</c:formatCode>
                <c:ptCount val="13"/>
                <c:pt idx="0">
                  <c:v>1.93</c:v>
                </c:pt>
                <c:pt idx="1">
                  <c:v>1.68</c:v>
                </c:pt>
                <c:pt idx="2">
                  <c:v>1.29</c:v>
                </c:pt>
                <c:pt idx="3">
                  <c:v>0.93</c:v>
                </c:pt>
                <c:pt idx="4">
                  <c:v>0.69</c:v>
                </c:pt>
                <c:pt idx="5">
                  <c:v>0.62</c:v>
                </c:pt>
                <c:pt idx="6">
                  <c:v>0.56999999999999995</c:v>
                </c:pt>
                <c:pt idx="7">
                  <c:v>0.46</c:v>
                </c:pt>
                <c:pt idx="8">
                  <c:v>0.26</c:v>
                </c:pt>
                <c:pt idx="9">
                  <c:v>0.26</c:v>
                </c:pt>
                <c:pt idx="10">
                  <c:v>7.0000000000000007E-2</c:v>
                </c:pt>
                <c:pt idx="11">
                  <c:v>7.0000000000000007E-2</c:v>
                </c:pt>
                <c:pt idx="12">
                  <c:v>0.01</c:v>
                </c:pt>
              </c:numCache>
            </c:numRef>
          </c:val>
          <c:extLst>
            <c:ext xmlns:c16="http://schemas.microsoft.com/office/drawing/2014/chart" uri="{C3380CC4-5D6E-409C-BE32-E72D297353CC}">
              <c16:uniqueId val="{00000000-3D3A-473B-B9FF-08AC3101157A}"/>
            </c:ext>
          </c:extLst>
        </c:ser>
        <c:dLbls>
          <c:showLegendKey val="0"/>
          <c:showVal val="0"/>
          <c:showCatName val="0"/>
          <c:showSerName val="0"/>
          <c:showPercent val="0"/>
          <c:showBubbleSize val="0"/>
        </c:dLbls>
        <c:gapWidth val="219"/>
        <c:overlap val="-27"/>
        <c:axId val="755553984"/>
        <c:axId val="755544864"/>
      </c:barChart>
      <c:lineChart>
        <c:grouping val="standard"/>
        <c:varyColors val="0"/>
        <c:ser>
          <c:idx val="1"/>
          <c:order val="1"/>
          <c:tx>
            <c:strRef>
              <c:f>'6.'!$D$2</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'6.'!$B$3:$B$15</c:f>
              <c:strCache>
                <c:ptCount val="13"/>
                <c:pt idx="0">
                  <c:v>DE</c:v>
                </c:pt>
                <c:pt idx="1">
                  <c:v>AT</c:v>
                </c:pt>
                <c:pt idx="2">
                  <c:v>EU</c:v>
                </c:pt>
                <c:pt idx="3">
                  <c:v>SI</c:v>
                </c:pt>
                <c:pt idx="4">
                  <c:v>CZ</c:v>
                </c:pt>
                <c:pt idx="5">
                  <c:v>HU</c:v>
                </c:pt>
                <c:pt idx="6">
                  <c:v>HR</c:v>
                </c:pt>
                <c:pt idx="7">
                  <c:v>SK</c:v>
                </c:pt>
                <c:pt idx="8">
                  <c:v>BG</c:v>
                </c:pt>
                <c:pt idx="9">
                  <c:v>RO</c:v>
                </c:pt>
                <c:pt idx="10">
                  <c:v>ME</c:v>
                </c:pt>
                <c:pt idx="11">
                  <c:v>BA</c:v>
                </c:pt>
                <c:pt idx="12">
                  <c:v>RS</c:v>
                </c:pt>
              </c:strCache>
            </c:strRef>
          </c:cat>
          <c:val>
            <c:numRef>
              <c:f>'6.'!$D$3:$D$15</c:f>
              <c:numCache>
                <c:formatCode>#\ ##0.##########</c:formatCode>
                <c:ptCount val="13"/>
                <c:pt idx="0">
                  <c:v>1.98</c:v>
                </c:pt>
                <c:pt idx="1">
                  <c:v>1.68</c:v>
                </c:pt>
                <c:pt idx="2">
                  <c:v>1.26</c:v>
                </c:pt>
                <c:pt idx="3">
                  <c:v>1.19</c:v>
                </c:pt>
                <c:pt idx="4">
                  <c:v>0.69</c:v>
                </c:pt>
                <c:pt idx="5">
                  <c:v>0.69</c:v>
                </c:pt>
                <c:pt idx="6">
                  <c:v>0.36</c:v>
                </c:pt>
                <c:pt idx="7">
                  <c:v>0.43</c:v>
                </c:pt>
                <c:pt idx="8">
                  <c:v>0.32</c:v>
                </c:pt>
                <c:pt idx="9">
                  <c:v>0.28000000000000003</c:v>
                </c:pt>
                <c:pt idx="10">
                  <c:v>7.0000000000000007E-2</c:v>
                </c:pt>
                <c:pt idx="11">
                  <c:v>7.0000000000000007E-2</c:v>
                </c:pt>
                <c:pt idx="12">
                  <c:v>0.08</c:v>
                </c:pt>
              </c:numCache>
            </c:numRef>
          </c:val>
          <c:smooth val="0"/>
          <c:extLst>
            <c:ext xmlns:c16="http://schemas.microsoft.com/office/drawing/2014/chart" uri="{C3380CC4-5D6E-409C-BE32-E72D297353CC}">
              <c16:uniqueId val="{00000001-3D3A-473B-B9FF-08AC3101157A}"/>
            </c:ext>
          </c:extLst>
        </c:ser>
        <c:ser>
          <c:idx val="2"/>
          <c:order val="2"/>
          <c:tx>
            <c:strRef>
              <c:f>'6.'!$E$2</c:f>
              <c:strCache>
                <c:ptCount val="1"/>
                <c:pt idx="0">
                  <c:v>2010</c:v>
                </c:pt>
              </c:strCache>
            </c:strRef>
          </c:tx>
          <c:spPr>
            <a:ln w="28575" cap="rnd">
              <a:noFill/>
              <a:round/>
            </a:ln>
            <a:effectLst/>
          </c:spPr>
          <c:marker>
            <c:symbol val="triangle"/>
            <c:size val="7"/>
            <c:spPr>
              <a:solidFill>
                <a:schemeClr val="accent2"/>
              </a:solidFill>
              <a:ln w="9525">
                <a:solidFill>
                  <a:schemeClr val="accent2"/>
                </a:solidFill>
              </a:ln>
              <a:effectLst/>
            </c:spPr>
          </c:marker>
          <c:cat>
            <c:strRef>
              <c:f>'6.'!$B$3:$B$15</c:f>
              <c:strCache>
                <c:ptCount val="13"/>
                <c:pt idx="0">
                  <c:v>DE</c:v>
                </c:pt>
                <c:pt idx="1">
                  <c:v>AT</c:v>
                </c:pt>
                <c:pt idx="2">
                  <c:v>EU</c:v>
                </c:pt>
                <c:pt idx="3">
                  <c:v>SI</c:v>
                </c:pt>
                <c:pt idx="4">
                  <c:v>CZ</c:v>
                </c:pt>
                <c:pt idx="5">
                  <c:v>HU</c:v>
                </c:pt>
                <c:pt idx="6">
                  <c:v>HR</c:v>
                </c:pt>
                <c:pt idx="7">
                  <c:v>SK</c:v>
                </c:pt>
                <c:pt idx="8">
                  <c:v>BG</c:v>
                </c:pt>
                <c:pt idx="9">
                  <c:v>RO</c:v>
                </c:pt>
                <c:pt idx="10">
                  <c:v>ME</c:v>
                </c:pt>
                <c:pt idx="11">
                  <c:v>BA</c:v>
                </c:pt>
                <c:pt idx="12">
                  <c:v>RS</c:v>
                </c:pt>
              </c:strCache>
            </c:strRef>
          </c:cat>
          <c:val>
            <c:numRef>
              <c:f>'6.'!$E$3:$E$15</c:f>
              <c:numCache>
                <c:formatCode>#\ ##0.##########</c:formatCode>
                <c:ptCount val="13"/>
                <c:pt idx="0">
                  <c:v>1.75</c:v>
                </c:pt>
                <c:pt idx="1">
                  <c:v>1.24</c:v>
                </c:pt>
                <c:pt idx="2">
                  <c:v>1.08</c:v>
                </c:pt>
                <c:pt idx="3">
                  <c:v>1.21</c:v>
                </c:pt>
                <c:pt idx="4">
                  <c:v>0.54</c:v>
                </c:pt>
                <c:pt idx="5">
                  <c:v>0.54</c:v>
                </c:pt>
                <c:pt idx="6">
                  <c:v>0.28000000000000003</c:v>
                </c:pt>
                <c:pt idx="7">
                  <c:v>0.21</c:v>
                </c:pt>
                <c:pt idx="8">
                  <c:v>0.09</c:v>
                </c:pt>
                <c:pt idx="9">
                  <c:v>0.14000000000000001</c:v>
                </c:pt>
                <c:pt idx="10">
                  <c:v>0.11</c:v>
                </c:pt>
                <c:pt idx="11">
                  <c:v>0.05</c:v>
                </c:pt>
                <c:pt idx="12">
                  <c:v>0.06</c:v>
                </c:pt>
              </c:numCache>
            </c:numRef>
          </c:val>
          <c:smooth val="0"/>
          <c:extLst>
            <c:ext xmlns:c16="http://schemas.microsoft.com/office/drawing/2014/chart" uri="{C3380CC4-5D6E-409C-BE32-E72D297353CC}">
              <c16:uniqueId val="{00000002-3D3A-473B-B9FF-08AC3101157A}"/>
            </c:ext>
          </c:extLst>
        </c:ser>
        <c:dLbls>
          <c:showLegendKey val="0"/>
          <c:showVal val="0"/>
          <c:showCatName val="0"/>
          <c:showSerName val="0"/>
          <c:showPercent val="0"/>
          <c:showBubbleSize val="0"/>
        </c:dLbls>
        <c:marker val="1"/>
        <c:smooth val="0"/>
        <c:axId val="755553984"/>
        <c:axId val="755544864"/>
      </c:lineChart>
      <c:catAx>
        <c:axId val="7555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44864"/>
        <c:crosses val="autoZero"/>
        <c:auto val="1"/>
        <c:lblAlgn val="ctr"/>
        <c:lblOffset val="100"/>
        <c:noMultiLvlLbl val="0"/>
      </c:catAx>
      <c:valAx>
        <c:axId val="755544864"/>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53984"/>
        <c:crosses val="autoZero"/>
        <c:crossBetween val="between"/>
      </c:valAx>
      <c:spPr>
        <a:noFill/>
        <a:ln>
          <a:noFill/>
        </a:ln>
        <a:effectLst/>
      </c:spPr>
    </c:plotArea>
    <c:legend>
      <c:legendPos val="b"/>
      <c:layout>
        <c:manualLayout>
          <c:xMode val="edge"/>
          <c:yMode val="edge"/>
          <c:x val="0.39474341097987753"/>
          <c:y val="7.8023123322292096E-2"/>
          <c:w val="0.17579081911636046"/>
          <c:h val="5.8517956849170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sk-S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32321741032371E-2"/>
          <c:y val="3.8144771558690387E-2"/>
          <c:w val="0.93237122703412079"/>
          <c:h val="0.80236366520740843"/>
        </c:manualLayout>
      </c:layout>
      <c:barChart>
        <c:barDir val="col"/>
        <c:grouping val="clustered"/>
        <c:varyColors val="0"/>
        <c:ser>
          <c:idx val="0"/>
          <c:order val="0"/>
          <c:tx>
            <c:strRef>
              <c:f>'7.'!$C$2</c:f>
              <c:strCache>
                <c:ptCount val="1"/>
                <c:pt idx="0">
                  <c:v>2022</c:v>
                </c:pt>
              </c:strCache>
            </c:strRef>
          </c:tx>
          <c:spPr>
            <a:solidFill>
              <a:schemeClr val="accent1"/>
            </a:solidFill>
            <a:ln>
              <a:noFill/>
            </a:ln>
            <a:effectLst/>
          </c:spPr>
          <c:invertIfNegative val="0"/>
          <c:cat>
            <c:strRef>
              <c:f>'7.'!$B$3:$B$16</c:f>
              <c:strCache>
                <c:ptCount val="14"/>
                <c:pt idx="0">
                  <c:v>BG</c:v>
                </c:pt>
                <c:pt idx="1">
                  <c:v>DE</c:v>
                </c:pt>
                <c:pt idx="2">
                  <c:v>HR</c:v>
                </c:pt>
                <c:pt idx="3">
                  <c:v>SI</c:v>
                </c:pt>
                <c:pt idx="4">
                  <c:v>MD</c:v>
                </c:pt>
                <c:pt idx="5">
                  <c:v>RO</c:v>
                </c:pt>
                <c:pt idx="6">
                  <c:v>CZ</c:v>
                </c:pt>
                <c:pt idx="7">
                  <c:v>UA</c:v>
                </c:pt>
                <c:pt idx="8">
                  <c:v>AT</c:v>
                </c:pt>
                <c:pt idx="9">
                  <c:v>SK</c:v>
                </c:pt>
                <c:pt idx="10">
                  <c:v>ME</c:v>
                </c:pt>
                <c:pt idx="11">
                  <c:v>BA</c:v>
                </c:pt>
                <c:pt idx="12">
                  <c:v>HU</c:v>
                </c:pt>
                <c:pt idx="13">
                  <c:v>RS</c:v>
                </c:pt>
              </c:strCache>
            </c:strRef>
          </c:cat>
          <c:val>
            <c:numRef>
              <c:f>'7.'!$C$3:$C$16</c:f>
              <c:numCache>
                <c:formatCode>General</c:formatCode>
                <c:ptCount val="14"/>
                <c:pt idx="0">
                  <c:v>53.774990081787109</c:v>
                </c:pt>
                <c:pt idx="1">
                  <c:v>47.157798767089837</c:v>
                </c:pt>
                <c:pt idx="2">
                  <c:v>46.700401306152337</c:v>
                </c:pt>
                <c:pt idx="3">
                  <c:v>46.378341674804688</c:v>
                </c:pt>
                <c:pt idx="4">
                  <c:v>43.160800933837891</c:v>
                </c:pt>
                <c:pt idx="5">
                  <c:v>42.900100708007813</c:v>
                </c:pt>
                <c:pt idx="6">
                  <c:v>42.668258666992188</c:v>
                </c:pt>
                <c:pt idx="7">
                  <c:v>37.529239654541023</c:v>
                </c:pt>
                <c:pt idx="8">
                  <c:v>37.214111328125</c:v>
                </c:pt>
                <c:pt idx="9">
                  <c:v>36.284770965576172</c:v>
                </c:pt>
                <c:pt idx="10">
                  <c:v>35.088390350341797</c:v>
                </c:pt>
                <c:pt idx="11">
                  <c:v>33.963508605957031</c:v>
                </c:pt>
                <c:pt idx="12">
                  <c:v>32.122718811035163</c:v>
                </c:pt>
              </c:numCache>
            </c:numRef>
          </c:val>
          <c:extLst>
            <c:ext xmlns:c16="http://schemas.microsoft.com/office/drawing/2014/chart" uri="{C3380CC4-5D6E-409C-BE32-E72D297353CC}">
              <c16:uniqueId val="{00000000-8E0B-4A78-8DD9-5FEC3E2B12F3}"/>
            </c:ext>
          </c:extLst>
        </c:ser>
        <c:dLbls>
          <c:showLegendKey val="0"/>
          <c:showVal val="0"/>
          <c:showCatName val="0"/>
          <c:showSerName val="0"/>
          <c:showPercent val="0"/>
          <c:showBubbleSize val="0"/>
        </c:dLbls>
        <c:gapWidth val="219"/>
        <c:overlap val="-27"/>
        <c:axId val="755553984"/>
        <c:axId val="755544864"/>
      </c:barChart>
      <c:lineChart>
        <c:grouping val="standard"/>
        <c:varyColors val="0"/>
        <c:ser>
          <c:idx val="1"/>
          <c:order val="1"/>
          <c:tx>
            <c:strRef>
              <c:f>'7.'!$D$2</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'7.'!$B$3:$B$16</c:f>
              <c:strCache>
                <c:ptCount val="14"/>
                <c:pt idx="0">
                  <c:v>BG</c:v>
                </c:pt>
                <c:pt idx="1">
                  <c:v>DE</c:v>
                </c:pt>
                <c:pt idx="2">
                  <c:v>HR</c:v>
                </c:pt>
                <c:pt idx="3">
                  <c:v>SI</c:v>
                </c:pt>
                <c:pt idx="4">
                  <c:v>MD</c:v>
                </c:pt>
                <c:pt idx="5">
                  <c:v>RO</c:v>
                </c:pt>
                <c:pt idx="6">
                  <c:v>CZ</c:v>
                </c:pt>
                <c:pt idx="7">
                  <c:v>UA</c:v>
                </c:pt>
                <c:pt idx="8">
                  <c:v>AT</c:v>
                </c:pt>
                <c:pt idx="9">
                  <c:v>SK</c:v>
                </c:pt>
                <c:pt idx="10">
                  <c:v>ME</c:v>
                </c:pt>
                <c:pt idx="11">
                  <c:v>BA</c:v>
                </c:pt>
                <c:pt idx="12">
                  <c:v>HU</c:v>
                </c:pt>
                <c:pt idx="13">
                  <c:v>RS</c:v>
                </c:pt>
              </c:strCache>
            </c:strRef>
          </c:cat>
          <c:val>
            <c:numRef>
              <c:f>'7.'!$D$3:$D$16</c:f>
              <c:numCache>
                <c:formatCode>General</c:formatCode>
                <c:ptCount val="14"/>
                <c:pt idx="0">
                  <c:v>52.637859344482422</c:v>
                </c:pt>
                <c:pt idx="1">
                  <c:v>42.056610107421882</c:v>
                </c:pt>
                <c:pt idx="2">
                  <c:v>46.109310150146477</c:v>
                </c:pt>
                <c:pt idx="3">
                  <c:v>46.968368530273438</c:v>
                </c:pt>
                <c:pt idx="4">
                  <c:v>41.139141082763672</c:v>
                </c:pt>
                <c:pt idx="5">
                  <c:v>37.953788757324219</c:v>
                </c:pt>
                <c:pt idx="6">
                  <c:v>42.381561279296882</c:v>
                </c:pt>
                <c:pt idx="7">
                  <c:v>27.28904914855957</c:v>
                </c:pt>
                <c:pt idx="8">
                  <c:v>32.873710632324219</c:v>
                </c:pt>
                <c:pt idx="9">
                  <c:v>36.439689636230469</c:v>
                </c:pt>
                <c:pt idx="10">
                  <c:v>38.214641571044922</c:v>
                </c:pt>
                <c:pt idx="11">
                  <c:v>30.492229461669918</c:v>
                </c:pt>
                <c:pt idx="12">
                  <c:v>29.739789962768551</c:v>
                </c:pt>
              </c:numCache>
            </c:numRef>
          </c:val>
          <c:smooth val="0"/>
          <c:extLst>
            <c:ext xmlns:c16="http://schemas.microsoft.com/office/drawing/2014/chart" uri="{C3380CC4-5D6E-409C-BE32-E72D297353CC}">
              <c16:uniqueId val="{00000001-8E0B-4A78-8DD9-5FEC3E2B12F3}"/>
            </c:ext>
          </c:extLst>
        </c:ser>
        <c:ser>
          <c:idx val="2"/>
          <c:order val="2"/>
          <c:tx>
            <c:strRef>
              <c:f>'7.'!$E$2</c:f>
              <c:strCache>
                <c:ptCount val="1"/>
                <c:pt idx="0">
                  <c:v>2010</c:v>
                </c:pt>
              </c:strCache>
            </c:strRef>
          </c:tx>
          <c:spPr>
            <a:ln w="28575" cap="rnd">
              <a:noFill/>
              <a:round/>
            </a:ln>
            <a:effectLst/>
          </c:spPr>
          <c:marker>
            <c:symbol val="triangle"/>
            <c:size val="7"/>
            <c:spPr>
              <a:solidFill>
                <a:schemeClr val="accent2"/>
              </a:solidFill>
              <a:ln w="9525">
                <a:solidFill>
                  <a:schemeClr val="accent2"/>
                </a:solidFill>
              </a:ln>
              <a:effectLst/>
            </c:spPr>
          </c:marker>
          <c:cat>
            <c:strRef>
              <c:f>'7.'!$B$3:$B$16</c:f>
              <c:strCache>
                <c:ptCount val="14"/>
                <c:pt idx="0">
                  <c:v>BG</c:v>
                </c:pt>
                <c:pt idx="1">
                  <c:v>DE</c:v>
                </c:pt>
                <c:pt idx="2">
                  <c:v>HR</c:v>
                </c:pt>
                <c:pt idx="3">
                  <c:v>SI</c:v>
                </c:pt>
                <c:pt idx="4">
                  <c:v>MD</c:v>
                </c:pt>
                <c:pt idx="5">
                  <c:v>RO</c:v>
                </c:pt>
                <c:pt idx="6">
                  <c:v>CZ</c:v>
                </c:pt>
                <c:pt idx="7">
                  <c:v>UA</c:v>
                </c:pt>
                <c:pt idx="8">
                  <c:v>AT</c:v>
                </c:pt>
                <c:pt idx="9">
                  <c:v>SK</c:v>
                </c:pt>
                <c:pt idx="10">
                  <c:v>ME</c:v>
                </c:pt>
                <c:pt idx="11">
                  <c:v>BA</c:v>
                </c:pt>
                <c:pt idx="12">
                  <c:v>HU</c:v>
                </c:pt>
                <c:pt idx="13">
                  <c:v>RS</c:v>
                </c:pt>
              </c:strCache>
            </c:strRef>
          </c:cat>
          <c:val>
            <c:numRef>
              <c:f>'7.'!$E$3:$E$16</c:f>
              <c:numCache>
                <c:formatCode>General</c:formatCode>
                <c:ptCount val="14"/>
                <c:pt idx="0">
                  <c:v>29.42793083190918</c:v>
                </c:pt>
                <c:pt idx="1">
                  <c:v>29.502689361572269</c:v>
                </c:pt>
                <c:pt idx="2">
                  <c:v>41.658050537109382</c:v>
                </c:pt>
                <c:pt idx="3">
                  <c:v>35.580551147460938</c:v>
                </c:pt>
                <c:pt idx="4">
                  <c:v>40.365371704101563</c:v>
                </c:pt>
                <c:pt idx="5">
                  <c:v>65.077110290527344</c:v>
                </c:pt>
                <c:pt idx="6">
                  <c:v>42.849739074707031</c:v>
                </c:pt>
                <c:pt idx="8">
                  <c:v>37.773159027099609</c:v>
                </c:pt>
                <c:pt idx="9">
                  <c:v>49.739040374755859</c:v>
                </c:pt>
                <c:pt idx="11">
                  <c:v>28.239849090576168</c:v>
                </c:pt>
                <c:pt idx="12">
                  <c:v>38.680568695068359</c:v>
                </c:pt>
                <c:pt idx="13">
                  <c:v>31.563510894775391</c:v>
                </c:pt>
              </c:numCache>
            </c:numRef>
          </c:val>
          <c:smooth val="0"/>
          <c:extLst>
            <c:ext xmlns:c16="http://schemas.microsoft.com/office/drawing/2014/chart" uri="{C3380CC4-5D6E-409C-BE32-E72D297353CC}">
              <c16:uniqueId val="{00000002-8E0B-4A78-8DD9-5FEC3E2B12F3}"/>
            </c:ext>
          </c:extLst>
        </c:ser>
        <c:dLbls>
          <c:showLegendKey val="0"/>
          <c:showVal val="0"/>
          <c:showCatName val="0"/>
          <c:showSerName val="0"/>
          <c:showPercent val="0"/>
          <c:showBubbleSize val="0"/>
        </c:dLbls>
        <c:marker val="1"/>
        <c:smooth val="0"/>
        <c:axId val="755553984"/>
        <c:axId val="755544864"/>
      </c:lineChart>
      <c:catAx>
        <c:axId val="7555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44864"/>
        <c:crosses val="autoZero"/>
        <c:auto val="1"/>
        <c:lblAlgn val="ctr"/>
        <c:lblOffset val="100"/>
        <c:noMultiLvlLbl val="0"/>
      </c:catAx>
      <c:valAx>
        <c:axId val="75554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53984"/>
        <c:crosses val="autoZero"/>
        <c:crossBetween val="between"/>
      </c:valAx>
      <c:spPr>
        <a:noFill/>
        <a:ln>
          <a:noFill/>
        </a:ln>
        <a:effectLst/>
      </c:spPr>
    </c:plotArea>
    <c:legend>
      <c:legendPos val="b"/>
      <c:layout>
        <c:manualLayout>
          <c:xMode val="edge"/>
          <c:yMode val="edge"/>
          <c:x val="0.47286841097987753"/>
          <c:y val="8.4952604501712978E-2"/>
          <c:w val="0.34999140542933788"/>
          <c:h val="5.8517956849170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sk-S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32321741032371E-2"/>
          <c:y val="3.8144771558690387E-2"/>
          <c:w val="0.93237122703412079"/>
          <c:h val="0.80236366520740843"/>
        </c:manualLayout>
      </c:layout>
      <c:barChart>
        <c:barDir val="col"/>
        <c:grouping val="clustered"/>
        <c:varyColors val="0"/>
        <c:ser>
          <c:idx val="0"/>
          <c:order val="0"/>
          <c:tx>
            <c:strRef>
              <c:f>'8.'!$C$4</c:f>
              <c:strCache>
                <c:ptCount val="1"/>
                <c:pt idx="0">
                  <c:v>2023</c:v>
                </c:pt>
              </c:strCache>
            </c:strRef>
          </c:tx>
          <c:spPr>
            <a:solidFill>
              <a:schemeClr val="accent1"/>
            </a:solidFill>
            <a:ln>
              <a:noFill/>
            </a:ln>
            <a:effectLst/>
          </c:spPr>
          <c:invertIfNegative val="0"/>
          <c:cat>
            <c:strRef>
              <c:f>'8.'!$B$5:$B$17</c:f>
              <c:strCache>
                <c:ptCount val="13"/>
                <c:pt idx="0">
                  <c:v>AT</c:v>
                </c:pt>
                <c:pt idx="1">
                  <c:v>EU27</c:v>
                </c:pt>
                <c:pt idx="2">
                  <c:v>SI</c:v>
                </c:pt>
                <c:pt idx="3">
                  <c:v>ME</c:v>
                </c:pt>
                <c:pt idx="4">
                  <c:v>SK</c:v>
                </c:pt>
                <c:pt idx="5">
                  <c:v>HR</c:v>
                </c:pt>
                <c:pt idx="6">
                  <c:v>DE</c:v>
                </c:pt>
                <c:pt idx="7">
                  <c:v>BG</c:v>
                </c:pt>
                <c:pt idx="8">
                  <c:v>RS</c:v>
                </c:pt>
                <c:pt idx="9">
                  <c:v>CZ</c:v>
                </c:pt>
                <c:pt idx="10">
                  <c:v>HU</c:v>
                </c:pt>
                <c:pt idx="11">
                  <c:v>BA</c:v>
                </c:pt>
                <c:pt idx="12">
                  <c:v>RO</c:v>
                </c:pt>
              </c:strCache>
            </c:strRef>
          </c:cat>
          <c:val>
            <c:numRef>
              <c:f>'8.'!$C$5:$C$17</c:f>
              <c:numCache>
                <c:formatCode>#\ ##0.##########</c:formatCode>
                <c:ptCount val="13"/>
                <c:pt idx="0">
                  <c:v>43.5</c:v>
                </c:pt>
                <c:pt idx="1">
                  <c:v>43.1</c:v>
                </c:pt>
                <c:pt idx="2">
                  <c:v>40.700000000000003</c:v>
                </c:pt>
                <c:pt idx="3">
                  <c:v>40.4</c:v>
                </c:pt>
                <c:pt idx="4">
                  <c:v>39.799999999999997</c:v>
                </c:pt>
                <c:pt idx="5">
                  <c:v>38.799999999999997</c:v>
                </c:pt>
                <c:pt idx="6">
                  <c:v>38.4</c:v>
                </c:pt>
                <c:pt idx="7">
                  <c:v>35.799999999999997</c:v>
                </c:pt>
                <c:pt idx="8">
                  <c:v>34.700000000000003</c:v>
                </c:pt>
                <c:pt idx="9">
                  <c:v>33.700000000000003</c:v>
                </c:pt>
                <c:pt idx="10">
                  <c:v>30.1</c:v>
                </c:pt>
                <c:pt idx="11">
                  <c:v>26.6</c:v>
                </c:pt>
                <c:pt idx="12">
                  <c:v>22.5</c:v>
                </c:pt>
              </c:numCache>
            </c:numRef>
          </c:val>
          <c:extLst>
            <c:ext xmlns:c16="http://schemas.microsoft.com/office/drawing/2014/chart" uri="{C3380CC4-5D6E-409C-BE32-E72D297353CC}">
              <c16:uniqueId val="{00000000-BDBB-42A3-8A1A-E7D99B6FE161}"/>
            </c:ext>
          </c:extLst>
        </c:ser>
        <c:dLbls>
          <c:showLegendKey val="0"/>
          <c:showVal val="0"/>
          <c:showCatName val="0"/>
          <c:showSerName val="0"/>
          <c:showPercent val="0"/>
          <c:showBubbleSize val="0"/>
        </c:dLbls>
        <c:gapWidth val="219"/>
        <c:overlap val="-27"/>
        <c:axId val="755553984"/>
        <c:axId val="755544864"/>
      </c:barChart>
      <c:lineChart>
        <c:grouping val="standard"/>
        <c:varyColors val="0"/>
        <c:ser>
          <c:idx val="1"/>
          <c:order val="1"/>
          <c:tx>
            <c:strRef>
              <c:f>'8.'!$D$4</c:f>
              <c:strCache>
                <c:ptCount val="1"/>
                <c:pt idx="0">
                  <c:v>2017</c:v>
                </c:pt>
              </c:strCache>
            </c:strRef>
          </c:tx>
          <c:spPr>
            <a:ln w="28575" cap="rnd">
              <a:noFill/>
              <a:round/>
            </a:ln>
            <a:effectLst/>
          </c:spPr>
          <c:marker>
            <c:symbol val="triangle"/>
            <c:size val="7"/>
            <c:spPr>
              <a:solidFill>
                <a:srgbClr val="FFFF00"/>
              </a:solidFill>
              <a:ln w="9525">
                <a:solidFill>
                  <a:srgbClr val="FFFF00"/>
                </a:solidFill>
              </a:ln>
              <a:effectLst/>
            </c:spPr>
          </c:marker>
          <c:cat>
            <c:strRef>
              <c:f>'8.'!$B$5:$B$17</c:f>
              <c:strCache>
                <c:ptCount val="13"/>
                <c:pt idx="0">
                  <c:v>AT</c:v>
                </c:pt>
                <c:pt idx="1">
                  <c:v>EU27</c:v>
                </c:pt>
                <c:pt idx="2">
                  <c:v>SI</c:v>
                </c:pt>
                <c:pt idx="3">
                  <c:v>ME</c:v>
                </c:pt>
                <c:pt idx="4">
                  <c:v>SK</c:v>
                </c:pt>
                <c:pt idx="5">
                  <c:v>HR</c:v>
                </c:pt>
                <c:pt idx="6">
                  <c:v>DE</c:v>
                </c:pt>
                <c:pt idx="7">
                  <c:v>BG</c:v>
                </c:pt>
                <c:pt idx="8">
                  <c:v>RS</c:v>
                </c:pt>
                <c:pt idx="9">
                  <c:v>CZ</c:v>
                </c:pt>
                <c:pt idx="10">
                  <c:v>HU</c:v>
                </c:pt>
                <c:pt idx="11">
                  <c:v>BA</c:v>
                </c:pt>
                <c:pt idx="12">
                  <c:v>RO</c:v>
                </c:pt>
              </c:strCache>
            </c:strRef>
          </c:cat>
          <c:val>
            <c:numRef>
              <c:f>'8.'!$D$5:$D$17</c:f>
              <c:numCache>
                <c:formatCode>#\ ##0.##########</c:formatCode>
                <c:ptCount val="13"/>
                <c:pt idx="0">
                  <c:v>40.299999999999997</c:v>
                </c:pt>
                <c:pt idx="1">
                  <c:v>37.6</c:v>
                </c:pt>
                <c:pt idx="2">
                  <c:v>44.5</c:v>
                </c:pt>
                <c:pt idx="3">
                  <c:v>35.5</c:v>
                </c:pt>
                <c:pt idx="4">
                  <c:v>35.1</c:v>
                </c:pt>
                <c:pt idx="5">
                  <c:v>32.700000000000003</c:v>
                </c:pt>
                <c:pt idx="6">
                  <c:v>31.3</c:v>
                </c:pt>
                <c:pt idx="7">
                  <c:v>33.4</c:v>
                </c:pt>
                <c:pt idx="8">
                  <c:v>32.200000000000003</c:v>
                </c:pt>
                <c:pt idx="9">
                  <c:v>33.799999999999997</c:v>
                </c:pt>
                <c:pt idx="10">
                  <c:v>30.2</c:v>
                </c:pt>
                <c:pt idx="11" formatCode="#,##0">
                  <c:v>0</c:v>
                </c:pt>
                <c:pt idx="12">
                  <c:v>25.6</c:v>
                </c:pt>
              </c:numCache>
            </c:numRef>
          </c:val>
          <c:smooth val="0"/>
          <c:extLst>
            <c:ext xmlns:c16="http://schemas.microsoft.com/office/drawing/2014/chart" uri="{C3380CC4-5D6E-409C-BE32-E72D297353CC}">
              <c16:uniqueId val="{00000001-BDBB-42A3-8A1A-E7D99B6FE161}"/>
            </c:ext>
          </c:extLst>
        </c:ser>
        <c:ser>
          <c:idx val="2"/>
          <c:order val="2"/>
          <c:tx>
            <c:strRef>
              <c:f>'8.'!$E$4</c:f>
              <c:strCache>
                <c:ptCount val="1"/>
                <c:pt idx="0">
                  <c:v>2010</c:v>
                </c:pt>
              </c:strCache>
            </c:strRef>
          </c:tx>
          <c:spPr>
            <a:ln w="28575" cap="rnd">
              <a:noFill/>
              <a:round/>
            </a:ln>
            <a:effectLst/>
          </c:spPr>
          <c:marker>
            <c:symbol val="triangle"/>
            <c:size val="7"/>
            <c:spPr>
              <a:solidFill>
                <a:schemeClr val="accent2"/>
              </a:solidFill>
              <a:ln w="9525">
                <a:solidFill>
                  <a:schemeClr val="accent2"/>
                </a:solidFill>
              </a:ln>
              <a:effectLst/>
            </c:spPr>
          </c:marker>
          <c:cat>
            <c:strRef>
              <c:f>'8.'!$B$5:$B$17</c:f>
              <c:strCache>
                <c:ptCount val="13"/>
                <c:pt idx="0">
                  <c:v>AT</c:v>
                </c:pt>
                <c:pt idx="1">
                  <c:v>EU27</c:v>
                </c:pt>
                <c:pt idx="2">
                  <c:v>SI</c:v>
                </c:pt>
                <c:pt idx="3">
                  <c:v>ME</c:v>
                </c:pt>
                <c:pt idx="4">
                  <c:v>SK</c:v>
                </c:pt>
                <c:pt idx="5">
                  <c:v>HR</c:v>
                </c:pt>
                <c:pt idx="6">
                  <c:v>DE</c:v>
                </c:pt>
                <c:pt idx="7">
                  <c:v>BG</c:v>
                </c:pt>
                <c:pt idx="8">
                  <c:v>RS</c:v>
                </c:pt>
                <c:pt idx="9">
                  <c:v>CZ</c:v>
                </c:pt>
                <c:pt idx="10">
                  <c:v>HU</c:v>
                </c:pt>
                <c:pt idx="11">
                  <c:v>BA</c:v>
                </c:pt>
                <c:pt idx="12">
                  <c:v>RO</c:v>
                </c:pt>
              </c:strCache>
            </c:strRef>
          </c:cat>
          <c:val>
            <c:numRef>
              <c:f>'8.'!$E$5:$E$17</c:f>
              <c:numCache>
                <c:formatCode>#\ ##0.##########</c:formatCode>
                <c:ptCount val="13"/>
                <c:pt idx="0">
                  <c:v>20.7</c:v>
                </c:pt>
                <c:pt idx="1">
                  <c:v>32.200000000000003</c:v>
                </c:pt>
                <c:pt idx="2">
                  <c:v>31.3</c:v>
                </c:pt>
                <c:pt idx="3">
                  <c:v>25.9</c:v>
                </c:pt>
                <c:pt idx="4" formatCode="#\ ##0.0">
                  <c:v>24</c:v>
                </c:pt>
                <c:pt idx="5">
                  <c:v>25.8</c:v>
                </c:pt>
                <c:pt idx="6" formatCode="#\ ##0.0">
                  <c:v>26</c:v>
                </c:pt>
                <c:pt idx="7">
                  <c:v>27.5</c:v>
                </c:pt>
                <c:pt idx="8">
                  <c:v>18.899999999999999</c:v>
                </c:pt>
                <c:pt idx="9">
                  <c:v>22.6</c:v>
                </c:pt>
                <c:pt idx="10">
                  <c:v>26.1</c:v>
                </c:pt>
                <c:pt idx="11" formatCode="#,##0">
                  <c:v>0</c:v>
                </c:pt>
                <c:pt idx="12">
                  <c:v>20.7</c:v>
                </c:pt>
              </c:numCache>
            </c:numRef>
          </c:val>
          <c:smooth val="0"/>
          <c:extLst>
            <c:ext xmlns:c16="http://schemas.microsoft.com/office/drawing/2014/chart" uri="{C3380CC4-5D6E-409C-BE32-E72D297353CC}">
              <c16:uniqueId val="{00000002-BDBB-42A3-8A1A-E7D99B6FE161}"/>
            </c:ext>
          </c:extLst>
        </c:ser>
        <c:dLbls>
          <c:showLegendKey val="0"/>
          <c:showVal val="0"/>
          <c:showCatName val="0"/>
          <c:showSerName val="0"/>
          <c:showPercent val="0"/>
          <c:showBubbleSize val="0"/>
        </c:dLbls>
        <c:marker val="1"/>
        <c:smooth val="0"/>
        <c:axId val="755553984"/>
        <c:axId val="755544864"/>
      </c:lineChart>
      <c:catAx>
        <c:axId val="7555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44864"/>
        <c:crosses val="autoZero"/>
        <c:auto val="1"/>
        <c:lblAlgn val="ctr"/>
        <c:lblOffset val="100"/>
        <c:noMultiLvlLbl val="0"/>
      </c:catAx>
      <c:valAx>
        <c:axId val="75554486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755553984"/>
        <c:crosses val="autoZero"/>
        <c:crossBetween val="between"/>
      </c:valAx>
      <c:spPr>
        <a:noFill/>
        <a:ln>
          <a:noFill/>
        </a:ln>
        <a:effectLst/>
      </c:spPr>
    </c:plotArea>
    <c:legend>
      <c:legendPos val="b"/>
      <c:layout>
        <c:manualLayout>
          <c:xMode val="edge"/>
          <c:yMode val="edge"/>
          <c:x val="0.35379454635425256"/>
          <c:y val="6.2945685926583117E-2"/>
          <c:w val="0.33455590377553407"/>
          <c:h val="5.8517956849170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0.06085</cdr:x>
      <cdr:y>0.27135</cdr:y>
    </cdr:from>
    <cdr:to>
      <cdr:x>0.98329</cdr:x>
      <cdr:y>0.27135</cdr:y>
    </cdr:to>
    <cdr:cxnSp macro="">
      <cdr:nvCxnSpPr>
        <cdr:cNvPr id="3" name="Rovná spojnica 2"/>
        <cdr:cNvCxnSpPr/>
      </cdr:nvCxnSpPr>
      <cdr:spPr>
        <a:xfrm xmlns:a="http://schemas.openxmlformats.org/drawingml/2006/main">
          <a:off x="548640" y="1367624"/>
          <a:ext cx="831706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2BB1F-3095-4521-AE2C-6DC479E9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7557</TotalTime>
  <Pages>34</Pages>
  <Words>7101</Words>
  <Characters>40481</Characters>
  <Application>Microsoft Office Word</Application>
  <DocSecurity>0</DocSecurity>
  <Lines>337</Lines>
  <Paragraphs>94</Paragraphs>
  <ScaleCrop>false</ScaleCrop>
  <Company/>
  <LinksUpToDate>false</LinksUpToDate>
  <CharactersWithSpaces>47488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Straka Daniel</dc:creator>
  <cp:keywords/>
  <dc:description/>
  <cp:lastModifiedBy>Straka Daniel</cp:lastModifiedBy>
  <cp:revision>92</cp:revision>
  <dcterms:created xsi:type="dcterms:W3CDTF">2025-06-23T15:44:00Z</dcterms:created>
  <dcterms:modified xsi:type="dcterms:W3CDTF">2025-06-30T14:05:00Z</dcterms:modified>
</cp:coreProperties>
</file>